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60921">
      <w:pPr>
        <w:spacing w:line="600" w:lineRule="exact"/>
        <w:ind w:left="0"/>
        <w:jc w:val="left"/>
        <w:rPr>
          <w:rFonts w:hint="eastAsia" w:ascii="仿宋_GB2312" w:hAnsi="仿宋_GB2312" w:eastAsia="仿宋_GB2312" w:cs="仿宋_GB2312"/>
          <w:sz w:val="24"/>
        </w:rPr>
      </w:pPr>
      <w:r>
        <w:rPr>
          <w:rFonts w:hint="eastAsia" w:ascii="仿宋_GB2312" w:hAnsi="仿宋_GB2312" w:eastAsia="仿宋_GB2312" w:cs="仿宋_GB2312"/>
          <w:b/>
          <w:sz w:val="28"/>
          <w:szCs w:val="28"/>
        </w:rPr>
        <w:t>附件2-2</w:t>
      </w:r>
    </w:p>
    <w:p w14:paraId="4BF2D552">
      <w:pPr>
        <w:spacing w:line="600" w:lineRule="exact"/>
        <w:ind w:left="0"/>
        <w:jc w:val="center"/>
        <w:rPr>
          <w:rFonts w:ascii="宋体" w:hAnsi="宋体"/>
          <w:b/>
          <w:w w:val="85"/>
          <w:sz w:val="36"/>
          <w:szCs w:val="36"/>
        </w:rPr>
      </w:pPr>
      <w:r>
        <w:rPr>
          <w:rFonts w:hint="eastAsia" w:ascii="宋体" w:hAnsi="宋体"/>
          <w:b/>
          <w:w w:val="85"/>
          <w:sz w:val="36"/>
          <w:szCs w:val="36"/>
        </w:rPr>
        <w:t>2024</w:t>
      </w:r>
      <w:r>
        <w:rPr>
          <w:rFonts w:ascii="宋体" w:hAnsi="宋体"/>
          <w:b/>
          <w:w w:val="85"/>
          <w:sz w:val="36"/>
          <w:szCs w:val="36"/>
        </w:rPr>
        <w:t>年度新晃县</w:t>
      </w:r>
      <w:r>
        <w:rPr>
          <w:rFonts w:hint="eastAsia" w:ascii="宋体" w:hAnsi="宋体"/>
          <w:b/>
          <w:w w:val="85"/>
          <w:sz w:val="36"/>
          <w:szCs w:val="36"/>
          <w:lang w:eastAsia="zh-CN"/>
        </w:rPr>
        <w:t>鱼市镇晏家完全小学学校</w:t>
      </w:r>
      <w:r>
        <w:rPr>
          <w:rFonts w:hint="eastAsia" w:ascii="宋体" w:hAnsi="宋体"/>
          <w:b/>
          <w:w w:val="85"/>
          <w:sz w:val="36"/>
          <w:szCs w:val="36"/>
          <w:lang w:val="en-US" w:eastAsia="zh-CN"/>
        </w:rPr>
        <w:t>义务教育生均公用经费</w:t>
      </w:r>
      <w:r>
        <w:rPr>
          <w:rFonts w:ascii="宋体" w:hAnsi="宋体"/>
          <w:b/>
          <w:w w:val="85"/>
          <w:sz w:val="36"/>
          <w:szCs w:val="36"/>
        </w:rPr>
        <w:t>项目</w:t>
      </w:r>
      <w:r>
        <w:rPr>
          <w:rFonts w:hint="eastAsia" w:ascii="宋体" w:hAnsi="宋体"/>
          <w:b/>
          <w:w w:val="85"/>
          <w:sz w:val="36"/>
          <w:szCs w:val="36"/>
        </w:rPr>
        <w:t>支出</w:t>
      </w:r>
      <w:r>
        <w:rPr>
          <w:rFonts w:ascii="宋体" w:hAnsi="宋体"/>
          <w:b/>
          <w:w w:val="85"/>
          <w:sz w:val="36"/>
          <w:szCs w:val="36"/>
        </w:rPr>
        <w:t>绩效</w:t>
      </w:r>
      <w:r>
        <w:rPr>
          <w:rFonts w:hint="eastAsia" w:ascii="宋体" w:hAnsi="宋体"/>
          <w:b/>
          <w:w w:val="85"/>
          <w:sz w:val="36"/>
          <w:szCs w:val="36"/>
        </w:rPr>
        <w:t>自评</w:t>
      </w:r>
      <w:r>
        <w:rPr>
          <w:rFonts w:ascii="宋体" w:hAnsi="宋体"/>
          <w:b/>
          <w:w w:val="85"/>
          <w:sz w:val="36"/>
          <w:szCs w:val="36"/>
        </w:rPr>
        <w:t>表</w:t>
      </w:r>
    </w:p>
    <w:p w14:paraId="110836F0">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5"/>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03EEA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14:paraId="473ABD9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14:paraId="6CFB774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14:paraId="14570C2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noWrap w:val="0"/>
            <w:tcMar>
              <w:top w:w="0" w:type="dxa"/>
              <w:left w:w="105" w:type="dxa"/>
              <w:bottom w:w="0" w:type="dxa"/>
              <w:right w:w="105" w:type="dxa"/>
            </w:tcMar>
            <w:vAlign w:val="center"/>
          </w:tcPr>
          <w:p w14:paraId="74E3AE8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val="0"/>
            <w:tcMar>
              <w:top w:w="0" w:type="dxa"/>
              <w:left w:w="105" w:type="dxa"/>
              <w:bottom w:w="0" w:type="dxa"/>
              <w:right w:w="105" w:type="dxa"/>
            </w:tcMar>
            <w:vAlign w:val="center"/>
          </w:tcPr>
          <w:p w14:paraId="460C375C">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义务教育生均公用经费</w:t>
            </w:r>
          </w:p>
        </w:tc>
      </w:tr>
      <w:tr w14:paraId="126B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14:paraId="07A6F32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w:t>
            </w:r>
          </w:p>
          <w:p w14:paraId="485845D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14:paraId="04458674">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新晃侗族自治县鱼市镇晏家完全小学学校</w:t>
            </w:r>
          </w:p>
        </w:tc>
        <w:tc>
          <w:tcPr>
            <w:tcW w:w="1628" w:type="dxa"/>
            <w:noWrap w:val="0"/>
            <w:tcMar>
              <w:top w:w="0" w:type="dxa"/>
              <w:left w:w="105" w:type="dxa"/>
              <w:bottom w:w="0" w:type="dxa"/>
              <w:right w:w="105" w:type="dxa"/>
            </w:tcMar>
            <w:vAlign w:val="center"/>
          </w:tcPr>
          <w:p w14:paraId="79EAF64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val="0"/>
            <w:tcMar>
              <w:top w:w="0" w:type="dxa"/>
              <w:left w:w="105" w:type="dxa"/>
              <w:bottom w:w="0" w:type="dxa"/>
              <w:right w:w="105" w:type="dxa"/>
            </w:tcMar>
            <w:vAlign w:val="center"/>
          </w:tcPr>
          <w:p w14:paraId="1596ACF8">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 w:val="24"/>
                <w:lang w:eastAsia="zh-CN"/>
              </w:rPr>
              <w:t>申惠文</w:t>
            </w:r>
          </w:p>
        </w:tc>
        <w:tc>
          <w:tcPr>
            <w:tcW w:w="1206" w:type="dxa"/>
            <w:noWrap w:val="0"/>
            <w:tcMar>
              <w:top w:w="0" w:type="dxa"/>
              <w:left w:w="105" w:type="dxa"/>
              <w:bottom w:w="0" w:type="dxa"/>
              <w:right w:w="105" w:type="dxa"/>
            </w:tcMar>
            <w:vAlign w:val="center"/>
          </w:tcPr>
          <w:p w14:paraId="6A3C4AD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14:paraId="606EB899">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 w:val="24"/>
                <w:lang w:val="en-US" w:eastAsia="zh-CN"/>
              </w:rPr>
              <w:t>18607459616</w:t>
            </w:r>
          </w:p>
        </w:tc>
      </w:tr>
      <w:tr w14:paraId="394BB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14:paraId="68B364C3">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14:paraId="181BCB2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14:paraId="09193F9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14:paraId="32E46CB4">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14:paraId="5C9FA58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14:paraId="0867410F">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14:paraId="3668F57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14:paraId="2443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14:paraId="05AFED8A">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14:paraId="2334EF6F">
            <w:pPr>
              <w:spacing w:line="320" w:lineRule="exact"/>
              <w:jc w:val="center"/>
              <w:rPr>
                <w:rFonts w:hint="eastAsia"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14:paraId="764DD9BA">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color w:val="auto"/>
                <w:szCs w:val="21"/>
                <w:lang w:val="en-US" w:eastAsia="zh-CN"/>
              </w:rPr>
              <w:t>26.23</w:t>
            </w:r>
          </w:p>
        </w:tc>
        <w:tc>
          <w:tcPr>
            <w:tcW w:w="1628" w:type="dxa"/>
            <w:noWrap w:val="0"/>
            <w:tcMar>
              <w:top w:w="0" w:type="dxa"/>
              <w:left w:w="105" w:type="dxa"/>
              <w:bottom w:w="0" w:type="dxa"/>
              <w:right w:w="105" w:type="dxa"/>
            </w:tcMar>
            <w:vAlign w:val="center"/>
          </w:tcPr>
          <w:p w14:paraId="61804A86">
            <w:pPr>
              <w:spacing w:line="320" w:lineRule="exact"/>
              <w:jc w:val="center"/>
              <w:rPr>
                <w:rFonts w:hint="default" w:ascii="仿宋_GB2312" w:hAnsi="仿宋_GB2312" w:eastAsia="仿宋_GB2312" w:cs="仿宋_GB2312"/>
                <w:szCs w:val="21"/>
                <w:lang w:val="en-US" w:eastAsia="zh-CN"/>
              </w:rPr>
            </w:pPr>
          </w:p>
        </w:tc>
        <w:tc>
          <w:tcPr>
            <w:tcW w:w="2303" w:type="dxa"/>
            <w:gridSpan w:val="2"/>
            <w:noWrap w:val="0"/>
            <w:tcMar>
              <w:top w:w="0" w:type="dxa"/>
              <w:left w:w="105" w:type="dxa"/>
              <w:bottom w:w="0" w:type="dxa"/>
              <w:right w:w="105" w:type="dxa"/>
            </w:tcMar>
            <w:vAlign w:val="center"/>
          </w:tcPr>
          <w:p w14:paraId="4E3E0C0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23.33</w:t>
            </w:r>
          </w:p>
        </w:tc>
        <w:tc>
          <w:tcPr>
            <w:tcW w:w="1702" w:type="dxa"/>
            <w:gridSpan w:val="2"/>
            <w:noWrap w:val="0"/>
            <w:tcMar>
              <w:top w:w="0" w:type="dxa"/>
              <w:left w:w="105" w:type="dxa"/>
              <w:bottom w:w="0" w:type="dxa"/>
              <w:right w:w="105" w:type="dxa"/>
            </w:tcMar>
            <w:vAlign w:val="center"/>
          </w:tcPr>
          <w:p w14:paraId="236F449B">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88.94%</w:t>
            </w:r>
          </w:p>
        </w:tc>
      </w:tr>
      <w:tr w14:paraId="6467C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14:paraId="2EADEF42">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14:paraId="713C954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14:paraId="7253544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14:paraId="42ECD99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14:paraId="0047240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14:paraId="67EB6AA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14:paraId="191A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14:paraId="30D8E00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14:paraId="7F69DFC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5770BD9D">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14:paraId="4F044D31">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660D051C">
            <w:pPr>
              <w:spacing w:line="320" w:lineRule="exact"/>
              <w:jc w:val="center"/>
              <w:rPr>
                <w:rFonts w:hint="eastAsia" w:ascii="仿宋_GB2312" w:hAnsi="仿宋_GB2312" w:eastAsia="仿宋_GB2312" w:cs="仿宋_GB2312"/>
                <w:szCs w:val="21"/>
              </w:rPr>
            </w:pPr>
          </w:p>
        </w:tc>
      </w:tr>
      <w:tr w14:paraId="3437B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14:paraId="4AFA4562">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14:paraId="6C4B974E">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48B4EC88">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23.33</w:t>
            </w:r>
            <w:r>
              <w:rPr>
                <w:rFonts w:hint="default" w:ascii="Arial" w:hAnsi="Arial" w:eastAsia="仿宋_GB2312" w:cs="Arial"/>
                <w:szCs w:val="21"/>
                <w:lang w:val="en-US" w:eastAsia="zh-CN"/>
              </w:rPr>
              <w:t>÷</w:t>
            </w:r>
            <w:r>
              <w:rPr>
                <w:rFonts w:hint="eastAsia" w:ascii="仿宋_GB2312" w:hAnsi="仿宋_GB2312" w:eastAsia="仿宋_GB2312" w:cs="仿宋_GB2312"/>
                <w:szCs w:val="21"/>
                <w:lang w:val="en-US" w:eastAsia="zh-CN"/>
              </w:rPr>
              <w:t>26.23=88.94</w:t>
            </w:r>
            <w:r>
              <w:rPr>
                <w:rFonts w:hint="eastAsia" w:ascii="仿宋_GB2312" w:hAnsi="仿宋_GB2312" w:eastAsia="仿宋_GB2312" w:cs="仿宋_GB2312"/>
                <w:szCs w:val="21"/>
              </w:rPr>
              <w:t>%。根据实际情况评分</w:t>
            </w:r>
          </w:p>
        </w:tc>
        <w:tc>
          <w:tcPr>
            <w:tcW w:w="832" w:type="dxa"/>
            <w:noWrap w:val="0"/>
            <w:tcMar>
              <w:top w:w="0" w:type="dxa"/>
              <w:left w:w="105" w:type="dxa"/>
              <w:bottom w:w="0" w:type="dxa"/>
              <w:right w:w="105" w:type="dxa"/>
            </w:tcMar>
            <w:vAlign w:val="center"/>
          </w:tcPr>
          <w:p w14:paraId="7132EC5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8</w:t>
            </w:r>
          </w:p>
        </w:tc>
        <w:tc>
          <w:tcPr>
            <w:tcW w:w="870" w:type="dxa"/>
            <w:noWrap w:val="0"/>
            <w:tcMar>
              <w:top w:w="0" w:type="dxa"/>
              <w:left w:w="105" w:type="dxa"/>
              <w:bottom w:w="0" w:type="dxa"/>
              <w:right w:w="105" w:type="dxa"/>
            </w:tcMar>
            <w:vAlign w:val="center"/>
          </w:tcPr>
          <w:p w14:paraId="26AC8A10">
            <w:pPr>
              <w:spacing w:line="320" w:lineRule="exact"/>
              <w:jc w:val="center"/>
              <w:rPr>
                <w:rFonts w:hint="eastAsia" w:ascii="仿宋_GB2312" w:hAnsi="仿宋_GB2312" w:eastAsia="仿宋_GB2312" w:cs="仿宋_GB2312"/>
                <w:szCs w:val="21"/>
              </w:rPr>
            </w:pPr>
          </w:p>
        </w:tc>
      </w:tr>
      <w:tr w14:paraId="1348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14:paraId="13C4992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14:paraId="3DAB374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3682D0A3">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本项目建立了</w:t>
            </w:r>
            <w:r>
              <w:rPr>
                <w:rFonts w:hint="eastAsia" w:ascii="仿宋_GB2312" w:hAnsi="仿宋_GB2312" w:eastAsia="仿宋_GB2312" w:cs="仿宋_GB2312"/>
                <w:szCs w:val="21"/>
                <w:lang w:eastAsia="zh-CN"/>
              </w:rPr>
              <w:t>专项资金</w:t>
            </w:r>
            <w:r>
              <w:rPr>
                <w:rFonts w:hint="eastAsia" w:ascii="仿宋_GB2312" w:hAnsi="仿宋_GB2312" w:eastAsia="仿宋_GB2312" w:cs="仿宋_GB2312"/>
                <w:szCs w:val="21"/>
              </w:rPr>
              <w:t>项目管理制度，并严格按相关制度执行。</w:t>
            </w:r>
          </w:p>
        </w:tc>
        <w:tc>
          <w:tcPr>
            <w:tcW w:w="832" w:type="dxa"/>
            <w:noWrap w:val="0"/>
            <w:tcMar>
              <w:top w:w="0" w:type="dxa"/>
              <w:left w:w="105" w:type="dxa"/>
              <w:bottom w:w="0" w:type="dxa"/>
              <w:right w:w="105" w:type="dxa"/>
            </w:tcMar>
            <w:vAlign w:val="center"/>
          </w:tcPr>
          <w:p w14:paraId="72D6F5FD">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30E3F7B9">
            <w:pPr>
              <w:spacing w:line="320" w:lineRule="exact"/>
              <w:jc w:val="center"/>
              <w:rPr>
                <w:rFonts w:hint="eastAsia" w:ascii="仿宋_GB2312" w:hAnsi="仿宋_GB2312" w:eastAsia="仿宋_GB2312" w:cs="仿宋_GB2312"/>
                <w:szCs w:val="21"/>
              </w:rPr>
            </w:pPr>
          </w:p>
        </w:tc>
      </w:tr>
      <w:tr w14:paraId="1A14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14:paraId="6DEBDB6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14:paraId="6BFFC863">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14:paraId="3DD8A86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5D0D212">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14:paraId="31A4F80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41F73944">
            <w:pPr>
              <w:spacing w:line="320" w:lineRule="exact"/>
              <w:jc w:val="center"/>
              <w:rPr>
                <w:rFonts w:hint="eastAsia" w:ascii="仿宋_GB2312" w:hAnsi="仿宋_GB2312" w:eastAsia="仿宋_GB2312" w:cs="仿宋_GB2312"/>
                <w:szCs w:val="21"/>
              </w:rPr>
            </w:pPr>
          </w:p>
        </w:tc>
      </w:tr>
      <w:tr w14:paraId="2E651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restart"/>
            <w:noWrap w:val="0"/>
            <w:tcMar>
              <w:top w:w="0" w:type="dxa"/>
              <w:left w:w="105" w:type="dxa"/>
              <w:bottom w:w="0" w:type="dxa"/>
              <w:right w:w="105" w:type="dxa"/>
            </w:tcMar>
            <w:vAlign w:val="center"/>
          </w:tcPr>
          <w:p w14:paraId="4BA688DF">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vMerge w:val="restart"/>
            <w:noWrap w:val="0"/>
            <w:tcMar>
              <w:top w:w="0" w:type="dxa"/>
              <w:left w:w="105" w:type="dxa"/>
              <w:bottom w:w="0" w:type="dxa"/>
              <w:right w:w="105" w:type="dxa"/>
            </w:tcMar>
            <w:vAlign w:val="center"/>
          </w:tcPr>
          <w:p w14:paraId="4E1EA42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shd w:val="clear" w:color="auto" w:fill="auto"/>
            <w:noWrap w:val="0"/>
            <w:tcMar>
              <w:top w:w="0" w:type="dxa"/>
              <w:left w:w="105" w:type="dxa"/>
              <w:bottom w:w="0" w:type="dxa"/>
              <w:right w:w="105" w:type="dxa"/>
            </w:tcMar>
            <w:vAlign w:val="center"/>
          </w:tcPr>
          <w:p w14:paraId="5946E0F9">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产出目标：</w:t>
            </w:r>
            <w:r>
              <w:rPr>
                <w:rFonts w:hint="eastAsia" w:ascii="Times New Roman" w:hAnsi="Times New Roman" w:eastAsia="仿宋_GB2312" w:cs="Times New Roman"/>
                <w:sz w:val="20"/>
                <w:szCs w:val="20"/>
                <w:lang w:val="en-US"/>
              </w:rPr>
              <w:t>保障学校正常运转，促进学生健康快乐成长</w:t>
            </w:r>
            <w:r>
              <w:rPr>
                <w:rFonts w:hint="eastAsia" w:ascii="Times New Roman" w:hAnsi="Times New Roman" w:eastAsia="仿宋_GB2312" w:cs="Times New Roman"/>
                <w:sz w:val="20"/>
                <w:szCs w:val="20"/>
                <w:lang w:val="en-US" w:eastAsia="zh-CN"/>
              </w:rPr>
              <w:t>，</w:t>
            </w:r>
            <w:r>
              <w:rPr>
                <w:rFonts w:hint="eastAsia" w:ascii="仿宋_GB2312" w:hAnsi="仿宋_GB2312" w:eastAsia="仿宋_GB2312" w:cs="仿宋_GB2312"/>
                <w:szCs w:val="21"/>
                <w:lang w:eastAsia="zh-CN"/>
              </w:rPr>
              <w:t>计</w:t>
            </w:r>
            <w:r>
              <w:rPr>
                <w:rFonts w:hint="eastAsia" w:ascii="仿宋_GB2312" w:hAnsi="仿宋_GB2312" w:eastAsia="仿宋_GB2312" w:cs="仿宋_GB2312"/>
                <w:szCs w:val="21"/>
                <w:lang w:val="en-US" w:eastAsia="zh-CN"/>
              </w:rPr>
              <w:t>10分。</w:t>
            </w:r>
          </w:p>
        </w:tc>
        <w:tc>
          <w:tcPr>
            <w:tcW w:w="832" w:type="dxa"/>
            <w:noWrap w:val="0"/>
            <w:tcMar>
              <w:top w:w="0" w:type="dxa"/>
              <w:left w:w="105" w:type="dxa"/>
              <w:bottom w:w="0" w:type="dxa"/>
              <w:right w:w="105" w:type="dxa"/>
            </w:tcMar>
            <w:vAlign w:val="center"/>
          </w:tcPr>
          <w:p w14:paraId="3EFF76E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73061D5C">
            <w:pPr>
              <w:spacing w:line="320" w:lineRule="exact"/>
              <w:jc w:val="center"/>
              <w:rPr>
                <w:rFonts w:hint="eastAsia" w:ascii="仿宋_GB2312" w:hAnsi="仿宋_GB2312" w:eastAsia="仿宋_GB2312" w:cs="仿宋_GB2312"/>
                <w:szCs w:val="21"/>
              </w:rPr>
            </w:pPr>
          </w:p>
        </w:tc>
      </w:tr>
      <w:tr w14:paraId="657C8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4013A05E">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73FE07DB">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7CB0252C">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产出时效：</w:t>
            </w:r>
            <w:r>
              <w:rPr>
                <w:rFonts w:hint="eastAsia" w:ascii="仿宋_GB2312" w:hAnsi="仿宋_GB2312" w:eastAsia="仿宋_GB2312" w:cs="仿宋_GB2312"/>
                <w:szCs w:val="21"/>
                <w:lang w:val="en-US" w:eastAsia="zh-CN"/>
              </w:rPr>
              <w:t>按时完成当年该项资金拨付，计10分。</w:t>
            </w:r>
          </w:p>
        </w:tc>
        <w:tc>
          <w:tcPr>
            <w:tcW w:w="832" w:type="dxa"/>
            <w:noWrap w:val="0"/>
            <w:tcMar>
              <w:top w:w="0" w:type="dxa"/>
              <w:left w:w="105" w:type="dxa"/>
              <w:bottom w:w="0" w:type="dxa"/>
              <w:right w:w="105" w:type="dxa"/>
            </w:tcMar>
            <w:vAlign w:val="center"/>
          </w:tcPr>
          <w:p w14:paraId="37B7C01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06C3343">
            <w:pPr>
              <w:spacing w:line="320" w:lineRule="exact"/>
              <w:jc w:val="center"/>
              <w:rPr>
                <w:rFonts w:hint="eastAsia" w:ascii="仿宋_GB2312" w:hAnsi="仿宋_GB2312" w:eastAsia="仿宋_GB2312" w:cs="仿宋_GB2312"/>
                <w:szCs w:val="21"/>
              </w:rPr>
            </w:pPr>
          </w:p>
        </w:tc>
      </w:tr>
      <w:tr w14:paraId="74CE0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6DB0F280">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480C4ADE">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6679D094">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rPr>
              <w:t>成本控制</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义务教育生均公用经费23.33万元，按照控制数执行，计10分。</w:t>
            </w:r>
          </w:p>
        </w:tc>
        <w:tc>
          <w:tcPr>
            <w:tcW w:w="832" w:type="dxa"/>
            <w:noWrap w:val="0"/>
            <w:tcMar>
              <w:top w:w="0" w:type="dxa"/>
              <w:left w:w="105" w:type="dxa"/>
              <w:bottom w:w="0" w:type="dxa"/>
              <w:right w:w="105" w:type="dxa"/>
            </w:tcMar>
            <w:vAlign w:val="center"/>
          </w:tcPr>
          <w:p w14:paraId="5843372A">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w:t>
            </w:r>
          </w:p>
        </w:tc>
        <w:tc>
          <w:tcPr>
            <w:tcW w:w="870" w:type="dxa"/>
            <w:noWrap w:val="0"/>
            <w:tcMar>
              <w:top w:w="0" w:type="dxa"/>
              <w:left w:w="105" w:type="dxa"/>
              <w:bottom w:w="0" w:type="dxa"/>
              <w:right w:w="105" w:type="dxa"/>
            </w:tcMar>
            <w:vAlign w:val="center"/>
          </w:tcPr>
          <w:p w14:paraId="26BFA7D8">
            <w:pPr>
              <w:spacing w:line="320" w:lineRule="exact"/>
              <w:jc w:val="center"/>
              <w:rPr>
                <w:rFonts w:hint="eastAsia" w:ascii="仿宋_GB2312" w:hAnsi="仿宋_GB2312" w:eastAsia="仿宋_GB2312" w:cs="仿宋_GB2312"/>
                <w:szCs w:val="21"/>
              </w:rPr>
            </w:pPr>
          </w:p>
        </w:tc>
      </w:tr>
      <w:tr w14:paraId="0303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9" w:hRule="atLeast"/>
          <w:tblCellSpacing w:w="0" w:type="dxa"/>
        </w:trPr>
        <w:tc>
          <w:tcPr>
            <w:tcW w:w="1312" w:type="dxa"/>
            <w:noWrap w:val="0"/>
            <w:tcMar>
              <w:top w:w="0" w:type="dxa"/>
              <w:left w:w="105" w:type="dxa"/>
              <w:bottom w:w="0" w:type="dxa"/>
              <w:right w:w="105" w:type="dxa"/>
            </w:tcMar>
            <w:vAlign w:val="center"/>
          </w:tcPr>
          <w:p w14:paraId="5C7B4EAC">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14:paraId="39FEC28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14:paraId="717EC10A">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项目效益：</w:t>
            </w:r>
            <w:r>
              <w:rPr>
                <w:rFonts w:hint="eastAsia" w:ascii="Times New Roman" w:hAnsi="Times New Roman" w:eastAsia="仿宋_GB2312" w:cs="Times New Roman"/>
                <w:sz w:val="20"/>
                <w:szCs w:val="20"/>
                <w:lang w:val="en-US"/>
              </w:rPr>
              <w:t>保障学校正常运转，促进学生健康快乐成长</w:t>
            </w:r>
            <w:r>
              <w:rPr>
                <w:rFonts w:hint="eastAsia" w:ascii="Times New Roman" w:hAnsi="Times New Roman" w:eastAsia="仿宋_GB2312" w:cs="Times New Roman"/>
                <w:sz w:val="20"/>
                <w:szCs w:val="20"/>
                <w:lang w:val="en-US" w:eastAsia="zh-CN"/>
              </w:rPr>
              <w:t>，</w:t>
            </w:r>
            <w:r>
              <w:rPr>
                <w:rFonts w:hint="eastAsia" w:ascii="仿宋_GB2312" w:hAnsi="仿宋_GB2312" w:eastAsia="仿宋_GB2312" w:cs="仿宋_GB2312"/>
                <w:szCs w:val="21"/>
                <w:lang w:eastAsia="zh-CN"/>
              </w:rPr>
              <w:t>计</w:t>
            </w:r>
            <w:r>
              <w:rPr>
                <w:rFonts w:hint="eastAsia" w:ascii="仿宋_GB2312" w:hAnsi="仿宋_GB2312" w:eastAsia="仿宋_GB2312" w:cs="仿宋_GB2312"/>
                <w:szCs w:val="21"/>
                <w:lang w:val="en-US" w:eastAsia="zh-CN"/>
              </w:rPr>
              <w:t>20分</w:t>
            </w:r>
          </w:p>
        </w:tc>
        <w:tc>
          <w:tcPr>
            <w:tcW w:w="832" w:type="dxa"/>
            <w:noWrap w:val="0"/>
            <w:tcMar>
              <w:top w:w="0" w:type="dxa"/>
              <w:left w:w="105" w:type="dxa"/>
              <w:bottom w:w="0" w:type="dxa"/>
              <w:right w:w="105" w:type="dxa"/>
            </w:tcMar>
            <w:vAlign w:val="center"/>
          </w:tcPr>
          <w:p w14:paraId="0759CF0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w:t>
            </w:r>
          </w:p>
        </w:tc>
        <w:tc>
          <w:tcPr>
            <w:tcW w:w="870" w:type="dxa"/>
            <w:noWrap w:val="0"/>
            <w:tcMar>
              <w:top w:w="0" w:type="dxa"/>
              <w:left w:w="105" w:type="dxa"/>
              <w:bottom w:w="0" w:type="dxa"/>
              <w:right w:w="105" w:type="dxa"/>
            </w:tcMar>
            <w:vAlign w:val="center"/>
          </w:tcPr>
          <w:p w14:paraId="461F6A4A">
            <w:pPr>
              <w:spacing w:line="320" w:lineRule="exact"/>
              <w:jc w:val="center"/>
              <w:rPr>
                <w:rFonts w:hint="eastAsia" w:ascii="仿宋_GB2312" w:hAnsi="仿宋_GB2312" w:eastAsia="仿宋_GB2312" w:cs="仿宋_GB2312"/>
                <w:szCs w:val="21"/>
              </w:rPr>
            </w:pPr>
          </w:p>
        </w:tc>
      </w:tr>
      <w:tr w14:paraId="083B1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31A408D8">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14:paraId="316AA31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3D529B1">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服务对象满意度</w:t>
            </w:r>
            <w:r>
              <w:rPr>
                <w:rFonts w:hint="eastAsia" w:ascii="仿宋_GB2312" w:hAnsi="仿宋_GB2312" w:eastAsia="仿宋_GB2312" w:cs="仿宋_GB2312"/>
                <w:szCs w:val="21"/>
                <w:lang w:eastAsia="zh-CN"/>
              </w:rPr>
              <w:t>：满意度达到</w:t>
            </w:r>
            <w:r>
              <w:rPr>
                <w:rFonts w:hint="eastAsia" w:ascii="仿宋_GB2312" w:hAnsi="仿宋_GB2312" w:eastAsia="仿宋_GB2312" w:cs="仿宋_GB2312"/>
                <w:szCs w:val="21"/>
                <w:lang w:val="en-US" w:eastAsia="zh-CN"/>
              </w:rPr>
              <w:t>95%</w:t>
            </w:r>
          </w:p>
        </w:tc>
        <w:tc>
          <w:tcPr>
            <w:tcW w:w="832" w:type="dxa"/>
            <w:noWrap w:val="0"/>
            <w:tcMar>
              <w:top w:w="0" w:type="dxa"/>
              <w:left w:w="105" w:type="dxa"/>
              <w:bottom w:w="0" w:type="dxa"/>
              <w:right w:w="105" w:type="dxa"/>
            </w:tcMar>
            <w:vAlign w:val="center"/>
          </w:tcPr>
          <w:p w14:paraId="59B136AF">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1E6EBC2">
            <w:pPr>
              <w:spacing w:line="320" w:lineRule="exact"/>
              <w:jc w:val="center"/>
              <w:rPr>
                <w:rFonts w:hint="eastAsia" w:ascii="仿宋_GB2312" w:hAnsi="仿宋_GB2312" w:eastAsia="仿宋_GB2312" w:cs="仿宋_GB2312"/>
                <w:szCs w:val="21"/>
              </w:rPr>
            </w:pPr>
          </w:p>
        </w:tc>
      </w:tr>
      <w:tr w14:paraId="7F3F8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58F6D7F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14:paraId="1EE9B35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3A9F82FE">
            <w:pPr>
              <w:spacing w:line="300" w:lineRule="exact"/>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1F9F251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97</w:t>
            </w:r>
          </w:p>
        </w:tc>
        <w:tc>
          <w:tcPr>
            <w:tcW w:w="870" w:type="dxa"/>
            <w:noWrap w:val="0"/>
            <w:tcMar>
              <w:top w:w="0" w:type="dxa"/>
              <w:left w:w="105" w:type="dxa"/>
              <w:bottom w:w="0" w:type="dxa"/>
              <w:right w:w="105" w:type="dxa"/>
            </w:tcMar>
            <w:vAlign w:val="center"/>
          </w:tcPr>
          <w:p w14:paraId="58C28A74">
            <w:pPr>
              <w:spacing w:line="320" w:lineRule="exact"/>
              <w:jc w:val="center"/>
              <w:rPr>
                <w:rFonts w:hint="eastAsia" w:ascii="仿宋_GB2312" w:hAnsi="仿宋_GB2312" w:eastAsia="仿宋_GB2312" w:cs="仿宋_GB2312"/>
                <w:szCs w:val="21"/>
              </w:rPr>
            </w:pPr>
          </w:p>
        </w:tc>
      </w:tr>
      <w:tr w14:paraId="0415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14:paraId="53C87769">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14:paraId="380668A7">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14:paraId="0711CB05">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14:paraId="75DA5835">
            <w:pPr>
              <w:spacing w:line="320" w:lineRule="exact"/>
              <w:jc w:val="center"/>
              <w:rPr>
                <w:rFonts w:hint="eastAsia" w:ascii="仿宋_GB2312" w:hAnsi="仿宋_GB2312" w:eastAsia="仿宋_GB2312" w:cs="仿宋_GB2312"/>
                <w:szCs w:val="21"/>
              </w:rPr>
            </w:pPr>
          </w:p>
        </w:tc>
        <w:tc>
          <w:tcPr>
            <w:tcW w:w="870" w:type="dxa"/>
            <w:noWrap w:val="0"/>
            <w:tcMar>
              <w:top w:w="0" w:type="dxa"/>
              <w:left w:w="105" w:type="dxa"/>
              <w:bottom w:w="0" w:type="dxa"/>
              <w:right w:w="105" w:type="dxa"/>
            </w:tcMar>
            <w:vAlign w:val="center"/>
          </w:tcPr>
          <w:p w14:paraId="31FC7EC2">
            <w:pPr>
              <w:spacing w:line="320" w:lineRule="exact"/>
              <w:jc w:val="center"/>
              <w:rPr>
                <w:rFonts w:hint="eastAsia" w:ascii="仿宋_GB2312" w:hAnsi="仿宋_GB2312" w:eastAsia="仿宋_GB2312" w:cs="仿宋_GB2312"/>
                <w:szCs w:val="21"/>
              </w:rPr>
            </w:pPr>
          </w:p>
        </w:tc>
      </w:tr>
      <w:tr w14:paraId="5B60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14:paraId="67F6913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14:paraId="180F892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73C549C6">
            <w:pPr>
              <w:spacing w:line="320" w:lineRule="exact"/>
              <w:jc w:val="center"/>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48AB5324">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97</w:t>
            </w:r>
          </w:p>
        </w:tc>
        <w:tc>
          <w:tcPr>
            <w:tcW w:w="870" w:type="dxa"/>
            <w:noWrap w:val="0"/>
            <w:tcMar>
              <w:top w:w="0" w:type="dxa"/>
              <w:left w:w="105" w:type="dxa"/>
              <w:bottom w:w="0" w:type="dxa"/>
              <w:right w:w="105" w:type="dxa"/>
            </w:tcMar>
            <w:vAlign w:val="center"/>
          </w:tcPr>
          <w:p w14:paraId="5E11A21E">
            <w:pPr>
              <w:spacing w:line="320" w:lineRule="exact"/>
              <w:jc w:val="center"/>
              <w:rPr>
                <w:rFonts w:hint="eastAsia" w:ascii="仿宋_GB2312" w:hAnsi="仿宋_GB2312" w:eastAsia="仿宋_GB2312" w:cs="仿宋_GB2312"/>
                <w:szCs w:val="21"/>
              </w:rPr>
            </w:pPr>
          </w:p>
        </w:tc>
      </w:tr>
      <w:tr w14:paraId="7FA82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14:paraId="740447C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14:paraId="27EA8A1D">
            <w:pPr>
              <w:spacing w:line="320" w:lineRule="exact"/>
              <w:jc w:val="center"/>
              <w:rPr>
                <w:rFonts w:hint="eastAsia"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14:paraId="399F122F">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7E02ABB1">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2462DE2B">
      <w:pPr>
        <w:spacing w:line="300" w:lineRule="exact"/>
        <w:rPr>
          <w:rFonts w:ascii="仿宋_GB2312" w:hAnsi="仿宋_GB2312" w:eastAsia="仿宋_GB2312" w:cs="仿宋_GB2312"/>
          <w:sz w:val="22"/>
          <w:szCs w:val="22"/>
        </w:rPr>
      </w:pPr>
      <w:r>
        <w:rPr>
          <w:rFonts w:ascii="仿宋_GB2312" w:hAnsi="仿宋_GB2312" w:eastAsia="仿宋_GB2312" w:cs="仿宋_GB2312"/>
          <w:sz w:val="22"/>
          <w:szCs w:val="22"/>
        </w:rPr>
        <w:t>单位负责人）：</w:t>
      </w:r>
      <w:r>
        <w:rPr>
          <w:rFonts w:hint="eastAsia" w:ascii="仿宋_GB2312" w:hAnsi="仿宋_GB2312" w:eastAsia="仿宋_GB2312" w:cs="仿宋_GB2312"/>
          <w:sz w:val="24"/>
          <w:lang w:eastAsia="zh-CN"/>
        </w:rPr>
        <w:t>申惠文</w:t>
      </w:r>
      <w:r>
        <w:rPr>
          <w:rFonts w:hint="eastAsia" w:ascii="仿宋_GB2312" w:hAnsi="仿宋_GB2312" w:eastAsia="仿宋_GB2312" w:cs="仿宋_GB2312"/>
          <w:sz w:val="22"/>
          <w:szCs w:val="22"/>
        </w:rPr>
        <w:t xml:space="preserve">  </w:t>
      </w:r>
      <w:r>
        <w:rPr>
          <w:rFonts w:ascii="仿宋_GB2312" w:hAnsi="仿宋_GB2312" w:eastAsia="仿宋_GB2312" w:cs="仿宋_GB2312"/>
          <w:sz w:val="22"/>
          <w:szCs w:val="22"/>
        </w:rPr>
        <w:t xml:space="preserve">  项目负责人：</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 w:val="24"/>
          <w:lang w:eastAsia="zh-CN"/>
        </w:rPr>
        <w:t>申惠文</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 w:val="22"/>
          <w:szCs w:val="22"/>
          <w:lang w:val="en-US" w:eastAsia="zh-CN"/>
        </w:rPr>
        <w:t xml:space="preserve">   </w:t>
      </w:r>
      <w:r>
        <w:rPr>
          <w:rFonts w:ascii="仿宋_GB2312" w:hAnsi="仿宋_GB2312" w:eastAsia="仿宋_GB2312" w:cs="仿宋_GB2312"/>
          <w:sz w:val="22"/>
          <w:szCs w:val="22"/>
        </w:rPr>
        <w:t>填表日期：</w:t>
      </w:r>
      <w:r>
        <w:rPr>
          <w:rFonts w:hint="eastAsia" w:ascii="仿宋_GB2312" w:hAnsi="仿宋_GB2312" w:eastAsia="仿宋_GB2312" w:cs="仿宋_GB2312"/>
          <w:sz w:val="22"/>
          <w:szCs w:val="22"/>
          <w:lang w:val="en-US" w:eastAsia="zh-CN"/>
        </w:rPr>
        <w:t>2025</w:t>
      </w:r>
      <w:r>
        <w:rPr>
          <w:rFonts w:ascii="仿宋_GB2312" w:hAnsi="仿宋_GB2312" w:eastAsia="仿宋_GB2312" w:cs="仿宋_GB2312"/>
          <w:sz w:val="22"/>
          <w:szCs w:val="22"/>
        </w:rPr>
        <w:t>年</w:t>
      </w:r>
      <w:r>
        <w:rPr>
          <w:rFonts w:hint="eastAsia" w:ascii="仿宋_GB2312" w:hAnsi="仿宋_GB2312" w:eastAsia="仿宋_GB2312" w:cs="仿宋_GB2312"/>
          <w:sz w:val="22"/>
          <w:szCs w:val="22"/>
          <w:lang w:val="en-US" w:eastAsia="zh-CN"/>
        </w:rPr>
        <w:t>4</w:t>
      </w:r>
      <w:r>
        <w:rPr>
          <w:rFonts w:ascii="仿宋_GB2312" w:hAnsi="仿宋_GB2312" w:eastAsia="仿宋_GB2312" w:cs="仿宋_GB2312"/>
          <w:sz w:val="22"/>
          <w:szCs w:val="22"/>
        </w:rPr>
        <w:t>月</w:t>
      </w:r>
      <w:r>
        <w:rPr>
          <w:rFonts w:hint="eastAsia" w:ascii="仿宋_GB2312" w:hAnsi="仿宋_GB2312" w:eastAsia="仿宋_GB2312" w:cs="仿宋_GB2312"/>
          <w:sz w:val="22"/>
          <w:szCs w:val="22"/>
          <w:lang w:val="en-US" w:eastAsia="zh-CN"/>
        </w:rPr>
        <w:t>8</w:t>
      </w:r>
      <w:r>
        <w:rPr>
          <w:rFonts w:ascii="仿宋_GB2312" w:hAnsi="仿宋_GB2312" w:eastAsia="仿宋_GB2312" w:cs="仿宋_GB2312"/>
          <w:sz w:val="22"/>
          <w:szCs w:val="22"/>
        </w:rPr>
        <w:t>日</w:t>
      </w:r>
    </w:p>
    <w:p w14:paraId="6FD6BA47">
      <w:pPr>
        <w:spacing w:before="240" w:line="340" w:lineRule="exact"/>
        <w:jc w:val="left"/>
        <w:rPr>
          <w:b/>
          <w:sz w:val="28"/>
          <w:szCs w:val="28"/>
        </w:rPr>
      </w:pPr>
      <w:r>
        <w:rPr>
          <w:rFonts w:hint="eastAsia" w:ascii="仿宋_GB2312" w:hAnsi="仿宋_GB2312" w:eastAsia="仿宋_GB2312" w:cs="仿宋_GB2312"/>
          <w:b/>
          <w:sz w:val="28"/>
          <w:szCs w:val="28"/>
        </w:rPr>
        <w:t>附件2-3</w:t>
      </w:r>
    </w:p>
    <w:p w14:paraId="0E657D80">
      <w:pPr>
        <w:spacing w:line="600" w:lineRule="exact"/>
        <w:jc w:val="center"/>
        <w:rPr>
          <w:rFonts w:hint="eastAsia" w:ascii="宋体" w:hAnsi="宋体"/>
          <w:b/>
          <w:w w:val="85"/>
          <w:sz w:val="36"/>
          <w:szCs w:val="36"/>
        </w:rPr>
      </w:pPr>
      <w:r>
        <w:rPr>
          <w:rFonts w:hint="eastAsia" w:ascii="宋体" w:hAnsi="宋体" w:eastAsia="方正粗宋简体"/>
          <w:b/>
          <w:w w:val="85"/>
          <w:sz w:val="36"/>
          <w:szCs w:val="36"/>
        </w:rPr>
        <w:t>2024</w:t>
      </w:r>
      <w:r>
        <w:rPr>
          <w:rFonts w:ascii="宋体" w:hAnsi="宋体"/>
          <w:b/>
          <w:w w:val="85"/>
          <w:sz w:val="36"/>
          <w:szCs w:val="36"/>
        </w:rPr>
        <w:t>年度新晃县</w:t>
      </w:r>
      <w:r>
        <w:rPr>
          <w:rFonts w:hint="eastAsia" w:ascii="宋体" w:hAnsi="宋体"/>
          <w:b/>
          <w:w w:val="85"/>
          <w:sz w:val="36"/>
          <w:szCs w:val="36"/>
          <w:lang w:eastAsia="zh-CN"/>
        </w:rPr>
        <w:t>鱼市镇晏家完全小学学校</w:t>
      </w:r>
      <w:r>
        <w:rPr>
          <w:rFonts w:hint="eastAsia" w:ascii="宋体" w:hAnsi="宋体"/>
          <w:b/>
          <w:w w:val="85"/>
          <w:sz w:val="36"/>
          <w:szCs w:val="36"/>
          <w:lang w:val="en-US" w:eastAsia="zh-CN"/>
        </w:rPr>
        <w:t>义务教育生均公用经费</w:t>
      </w:r>
      <w:r>
        <w:rPr>
          <w:rFonts w:hint="eastAsia" w:ascii="宋体" w:hAnsi="宋体"/>
          <w:b/>
          <w:w w:val="85"/>
          <w:sz w:val="36"/>
          <w:szCs w:val="36"/>
        </w:rPr>
        <w:t>项目</w:t>
      </w:r>
      <w:r>
        <w:rPr>
          <w:rFonts w:ascii="宋体" w:hAnsi="宋体"/>
          <w:b/>
          <w:w w:val="85"/>
          <w:sz w:val="36"/>
          <w:szCs w:val="36"/>
        </w:rPr>
        <w:t>支出</w:t>
      </w:r>
      <w:r>
        <w:rPr>
          <w:rFonts w:hint="eastAsia" w:ascii="宋体" w:hAnsi="宋体"/>
          <w:b/>
          <w:w w:val="85"/>
          <w:sz w:val="36"/>
          <w:szCs w:val="36"/>
        </w:rPr>
        <w:t>绩效</w:t>
      </w:r>
      <w:r>
        <w:rPr>
          <w:rFonts w:ascii="宋体" w:hAnsi="宋体"/>
          <w:b/>
          <w:w w:val="85"/>
          <w:sz w:val="36"/>
          <w:szCs w:val="36"/>
        </w:rPr>
        <w:t>自评报告</w:t>
      </w:r>
    </w:p>
    <w:p w14:paraId="48C65DA2">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cs="宋体"/>
          <w:b/>
          <w:sz w:val="32"/>
          <w:szCs w:val="32"/>
        </w:rPr>
        <w:t>一、基本情况</w:t>
      </w:r>
    </w:p>
    <w:p w14:paraId="63D6294C">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1、为保障义务教育学校正常运转，完成教育教学活动和其他日常工作任务，依据国家相关政策，拨付生均公用经费。确保学校教学活动有序开展，改善办学条件，提升教育教学质量，促进学生全面发展。</w:t>
      </w:r>
    </w:p>
    <w:p w14:paraId="67B10845">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2、资金投入和使用情况</w:t>
      </w:r>
    </w:p>
    <w:p w14:paraId="14EA15E0">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截止2024年12月，我校义务教育生均公用经费项目资金26.23万元全部拨付到位，到位率为100%。</w:t>
      </w:r>
    </w:p>
    <w:p w14:paraId="4D008253">
      <w:pPr>
        <w:spacing w:line="600" w:lineRule="exact"/>
        <w:ind w:firstLine="640" w:firstLineChars="200"/>
        <w:rPr>
          <w:rFonts w:hint="default"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项目资金执行情况：截止2024年12月，本年度支付营养改善计划项目资金23.33万元，执行率为88.94%。</w:t>
      </w:r>
    </w:p>
    <w:p w14:paraId="1FCA70DA">
      <w:pPr>
        <w:pStyle w:val="4"/>
        <w:keepNext w:val="0"/>
        <w:keepLines w:val="0"/>
        <w:pageBreakBefore w:val="0"/>
        <w:widowControl w:val="0"/>
        <w:kinsoku/>
        <w:wordWrap/>
        <w:overflowPunct/>
        <w:topLinePunct w:val="0"/>
        <w:autoSpaceDE/>
        <w:autoSpaceDN/>
        <w:bidi w:val="0"/>
        <w:adjustRightInd/>
        <w:snapToGrid/>
        <w:spacing w:after="0" w:line="480" w:lineRule="auto"/>
        <w:ind w:left="0" w:leftChars="0" w:firstLine="560" w:firstLineChars="0"/>
        <w:jc w:val="left"/>
        <w:rPr>
          <w:rFonts w:hint="eastAsia" w:ascii="仿宋_GB2312" w:hAnsi="仿宋_GB2312" w:eastAsia="仿宋_GB2312" w:cs="仿宋_GB2312"/>
          <w:sz w:val="32"/>
          <w:szCs w:val="32"/>
          <w:lang w:val="en-US" w:eastAsia="zh-CN" w:bidi="ar-SA"/>
        </w:rPr>
      </w:pPr>
      <w:r>
        <w:rPr>
          <w:rFonts w:hint="eastAsia" w:ascii="仿宋" w:hAnsi="仿宋" w:eastAsia="仿宋" w:cs="Times New Roman"/>
          <w:sz w:val="32"/>
          <w:szCs w:val="32"/>
          <w:lang w:val="en-US" w:eastAsia="zh-CN" w:bidi="ar-SA"/>
        </w:rPr>
        <w:t>项目实施情况：</w:t>
      </w:r>
      <w:r>
        <w:rPr>
          <w:rFonts w:hint="default" w:ascii="仿宋" w:hAnsi="仿宋" w:eastAsia="仿宋" w:cs="Times New Roman"/>
          <w:sz w:val="32"/>
          <w:szCs w:val="32"/>
          <w:lang w:eastAsia="zh-CN" w:bidi="ar-SA"/>
        </w:rPr>
        <w:t>在项目实施期内</w:t>
      </w:r>
      <w:r>
        <w:rPr>
          <w:rFonts w:hint="eastAsia" w:ascii="仿宋_GB2312" w:hAnsi="仿宋_GB2312" w:eastAsia="仿宋_GB2312" w:cs="仿宋_GB2312"/>
          <w:sz w:val="32"/>
          <w:szCs w:val="32"/>
          <w:lang w:val="en-US" w:eastAsia="zh-CN"/>
        </w:rPr>
        <w:t>确保了项目的资金充足</w:t>
      </w:r>
      <w:r>
        <w:rPr>
          <w:rFonts w:hint="eastAsia" w:ascii="仿宋" w:hAnsi="仿宋" w:eastAsia="仿宋" w:cs="Times New Roman"/>
          <w:sz w:val="32"/>
          <w:szCs w:val="32"/>
          <w:lang w:val="en-US" w:eastAsia="zh-CN" w:bidi="ar-SA"/>
        </w:rPr>
        <w:t>为教育教学提供保障，</w:t>
      </w:r>
      <w:r>
        <w:rPr>
          <w:rFonts w:hint="default" w:ascii="仿宋_GB2312" w:hAnsi="仿宋_GB2312" w:eastAsia="仿宋_GB2312" w:cs="仿宋_GB2312"/>
          <w:sz w:val="32"/>
          <w:szCs w:val="32"/>
          <w:lang w:eastAsia="zh-CN"/>
        </w:rPr>
        <w:t>确保了项目</w:t>
      </w:r>
      <w:r>
        <w:rPr>
          <w:rFonts w:hint="eastAsia" w:ascii="仿宋_GB2312" w:hAnsi="仿宋_GB2312" w:eastAsia="仿宋_GB2312" w:cs="仿宋_GB2312"/>
          <w:sz w:val="32"/>
          <w:szCs w:val="32"/>
          <w:lang w:val="en-US" w:eastAsia="zh-CN"/>
        </w:rPr>
        <w:t>顺利开展。</w:t>
      </w:r>
    </w:p>
    <w:p w14:paraId="1D6748EB">
      <w:pPr>
        <w:pStyle w:val="4"/>
        <w:spacing w:after="0" w:line="600" w:lineRule="exact"/>
        <w:ind w:firstLine="640" w:firstLineChars="200"/>
        <w:jc w:val="left"/>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rPr>
        <w:t>项目绩效目标：该项目的实施为学校正常运转提供了有效保障，学校办学条件得到了明显改善，学校的运转规范有序，有力推进了义务教育均衡发展，学生及家长满意度显著提高。</w:t>
      </w:r>
    </w:p>
    <w:p w14:paraId="16557FE5">
      <w:pPr>
        <w:spacing w:line="560" w:lineRule="exact"/>
        <w:ind w:firstLine="643" w:firstLineChars="200"/>
        <w:jc w:val="left"/>
        <w:rPr>
          <w:rFonts w:hint="eastAsia" w:ascii="宋体" w:hAnsi="宋体" w:cs="宋体"/>
          <w:b/>
          <w:sz w:val="32"/>
          <w:szCs w:val="32"/>
        </w:rPr>
      </w:pPr>
      <w:r>
        <w:rPr>
          <w:rFonts w:hint="eastAsia" w:ascii="宋体" w:hAnsi="宋体" w:cs="宋体"/>
          <w:b/>
          <w:sz w:val="32"/>
          <w:szCs w:val="32"/>
        </w:rPr>
        <w:t>二、绩效评价工作开展情况</w:t>
      </w:r>
    </w:p>
    <w:p w14:paraId="4C1C1BEB">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14:paraId="39AE5631">
      <w:pPr>
        <w:spacing w:line="600" w:lineRule="exact"/>
        <w:ind w:firstLine="640" w:firstLineChars="200"/>
        <w:rPr>
          <w:rFonts w:ascii="仿宋" w:hAnsi="仿宋" w:eastAsia="仿宋"/>
          <w:sz w:val="32"/>
          <w:szCs w:val="32"/>
        </w:rPr>
      </w:pPr>
      <w:r>
        <w:rPr>
          <w:rFonts w:hint="eastAsia" w:ascii="仿宋" w:hAnsi="仿宋" w:eastAsia="仿宋"/>
          <w:sz w:val="32"/>
          <w:szCs w:val="32"/>
        </w:rPr>
        <w:t>绩效评价目的</w:t>
      </w:r>
      <w:r>
        <w:rPr>
          <w:rFonts w:hint="eastAsia" w:ascii="仿宋" w:hAnsi="仿宋" w:eastAsia="仿宋"/>
          <w:sz w:val="32"/>
          <w:szCs w:val="32"/>
          <w:lang w:eastAsia="zh-CN"/>
        </w:rPr>
        <w:t>：</w:t>
      </w:r>
      <w:r>
        <w:rPr>
          <w:rFonts w:hint="eastAsia" w:ascii="仿宋_GB2312" w:hAnsi="仿宋_GB2312" w:eastAsia="仿宋_GB2312" w:cs="仿宋_GB2312"/>
          <w:color w:val="000000"/>
          <w:kern w:val="0"/>
          <w:sz w:val="32"/>
          <w:szCs w:val="32"/>
        </w:rPr>
        <w:t>在项目期内充分合理使用预算，避免出现专项资金滞留及挪用等违规违纪行为。</w:t>
      </w:r>
      <w:r>
        <w:rPr>
          <w:rFonts w:hint="eastAsia" w:ascii="仿宋" w:hAnsi="仿宋" w:eastAsia="仿宋"/>
          <w:sz w:val="32"/>
          <w:szCs w:val="32"/>
        </w:rPr>
        <w:t>通过评价进一步客观地反映政策的执行情况、履职情况、项目实施情况和效果。分析营养改善计划政策的精准有效实施情况、资金到位及管理情况、绩效目标完成情况。为进一步规范财政资金运行和预算绩效管理，完善政策制度，推动部门有效履职，优化资源配置和财政支出结构强化支出责任，提高财政资金的导向作用提供支撑。</w:t>
      </w:r>
    </w:p>
    <w:p w14:paraId="6CD31A82">
      <w:pPr>
        <w:spacing w:line="600" w:lineRule="exact"/>
        <w:ind w:firstLine="640" w:firstLineChars="200"/>
        <w:rPr>
          <w:rFonts w:ascii="仿宋" w:hAnsi="仿宋" w:eastAsia="仿宋"/>
          <w:sz w:val="32"/>
          <w:szCs w:val="32"/>
        </w:rPr>
      </w:pPr>
      <w:r>
        <w:rPr>
          <w:rFonts w:hint="eastAsia" w:ascii="仿宋" w:hAnsi="仿宋" w:eastAsia="仿宋"/>
          <w:sz w:val="32"/>
          <w:szCs w:val="32"/>
        </w:rPr>
        <w:t>评价对象</w:t>
      </w:r>
      <w:r>
        <w:rPr>
          <w:rFonts w:hint="eastAsia" w:ascii="仿宋" w:hAnsi="仿宋" w:eastAsia="仿宋"/>
          <w:sz w:val="32"/>
          <w:szCs w:val="32"/>
          <w:lang w:eastAsia="zh-CN"/>
        </w:rPr>
        <w:t>：</w:t>
      </w:r>
      <w:r>
        <w:rPr>
          <w:rFonts w:hint="eastAsia" w:ascii="仿宋" w:hAnsi="仿宋" w:eastAsia="仿宋"/>
          <w:sz w:val="32"/>
          <w:szCs w:val="32"/>
          <w:lang w:val="en-US" w:eastAsia="zh-CN"/>
        </w:rPr>
        <w:t>义务教育生均公用经费</w:t>
      </w:r>
      <w:r>
        <w:rPr>
          <w:rFonts w:hint="eastAsia" w:ascii="仿宋" w:hAnsi="仿宋" w:eastAsia="仿宋"/>
          <w:sz w:val="32"/>
          <w:szCs w:val="32"/>
        </w:rPr>
        <w:t>资金项目。</w:t>
      </w:r>
    </w:p>
    <w:p w14:paraId="500CF2EB">
      <w:pPr>
        <w:numPr>
          <w:ilvl w:val="0"/>
          <w:numId w:val="0"/>
        </w:numPr>
        <w:spacing w:line="560" w:lineRule="exact"/>
        <w:ind w:left="600" w:leftChars="0"/>
        <w:jc w:val="left"/>
        <w:rPr>
          <w:rFonts w:hint="eastAsia" w:ascii="仿宋_GB2312" w:hAnsi="仿宋_GB2312" w:eastAsia="仿宋_GB2312" w:cs="仿宋_GB2312"/>
          <w:sz w:val="32"/>
          <w:szCs w:val="32"/>
        </w:rPr>
      </w:pPr>
      <w:r>
        <w:rPr>
          <w:rFonts w:hint="eastAsia" w:ascii="仿宋" w:hAnsi="仿宋" w:eastAsia="仿宋"/>
          <w:sz w:val="32"/>
          <w:szCs w:val="32"/>
        </w:rPr>
        <w:t>评价范围</w:t>
      </w:r>
      <w:r>
        <w:rPr>
          <w:rFonts w:hint="eastAsia" w:ascii="仿宋" w:hAnsi="仿宋" w:eastAsia="仿宋"/>
          <w:sz w:val="32"/>
          <w:szCs w:val="32"/>
          <w:lang w:eastAsia="zh-CN"/>
        </w:rPr>
        <w:t>：</w:t>
      </w:r>
      <w:r>
        <w:rPr>
          <w:rFonts w:hint="eastAsia" w:ascii="仿宋" w:hAnsi="仿宋" w:eastAsia="仿宋"/>
          <w:sz w:val="32"/>
          <w:szCs w:val="32"/>
        </w:rPr>
        <w:t>包括202</w:t>
      </w:r>
      <w:r>
        <w:rPr>
          <w:rFonts w:hint="eastAsia" w:ascii="仿宋" w:hAnsi="仿宋" w:eastAsia="仿宋"/>
          <w:sz w:val="32"/>
          <w:szCs w:val="32"/>
          <w:lang w:val="en-US" w:eastAsia="zh-CN"/>
        </w:rPr>
        <w:t>4年义务教育生均公用经费</w:t>
      </w:r>
      <w:r>
        <w:rPr>
          <w:rFonts w:hint="eastAsia" w:ascii="仿宋" w:hAnsi="仿宋" w:eastAsia="仿宋"/>
          <w:sz w:val="32"/>
          <w:szCs w:val="32"/>
        </w:rPr>
        <w:t>资金</w:t>
      </w:r>
      <w:r>
        <w:rPr>
          <w:rFonts w:hint="eastAsia" w:ascii="仿宋" w:hAnsi="仿宋" w:eastAsia="仿宋"/>
          <w:sz w:val="32"/>
          <w:szCs w:val="32"/>
          <w:lang w:val="en-US" w:eastAsia="zh-CN"/>
        </w:rPr>
        <w:t>及项目实施情况</w:t>
      </w:r>
      <w:r>
        <w:rPr>
          <w:rFonts w:hint="eastAsia" w:ascii="仿宋" w:hAnsi="仿宋" w:eastAsia="仿宋"/>
          <w:sz w:val="32"/>
          <w:szCs w:val="32"/>
        </w:rPr>
        <w:t>。</w:t>
      </w:r>
    </w:p>
    <w:p w14:paraId="4A9AC2DC">
      <w:pPr>
        <w:numPr>
          <w:ilvl w:val="0"/>
          <w:numId w:val="1"/>
        </w:numPr>
        <w:spacing w:line="560" w:lineRule="exact"/>
        <w:ind w:left="-40" w:leftChars="0" w:firstLine="64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绩效评价原则、评价指标体系（附表说明）、评价方法、评价标准等。</w:t>
      </w:r>
    </w:p>
    <w:p w14:paraId="4E193FA5">
      <w:pPr>
        <w:spacing w:line="600" w:lineRule="exact"/>
        <w:ind w:firstLine="640" w:firstLineChars="200"/>
        <w:rPr>
          <w:rFonts w:ascii="仿宋" w:hAnsi="仿宋" w:eastAsia="仿宋"/>
          <w:sz w:val="32"/>
          <w:szCs w:val="32"/>
        </w:rPr>
      </w:pPr>
      <w:r>
        <w:rPr>
          <w:rFonts w:hint="eastAsia" w:ascii="仿宋" w:hAnsi="仿宋" w:eastAsia="仿宋"/>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14:paraId="5E9EE58B">
      <w:pPr>
        <w:spacing w:line="600" w:lineRule="exact"/>
        <w:ind w:firstLine="640" w:firstLineChars="200"/>
        <w:rPr>
          <w:rFonts w:hint="eastAsia" w:ascii="仿宋_GB2312" w:hAnsi="仿宋_GB2312" w:eastAsia="仿宋_GB2312" w:cs="仿宋_GB2312"/>
          <w:sz w:val="32"/>
          <w:szCs w:val="32"/>
        </w:rPr>
      </w:pPr>
      <w:r>
        <w:rPr>
          <w:rFonts w:hint="eastAsia" w:ascii="仿宋" w:hAnsi="仿宋" w:eastAsia="仿宋"/>
          <w:sz w:val="32"/>
          <w:szCs w:val="32"/>
        </w:rPr>
        <w:t>（三）绩效评价工作过程：认真参照项目绩效评分标准，对执行情况逐项进行量化评分。</w:t>
      </w:r>
    </w:p>
    <w:p w14:paraId="3E28F9F8">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三、综合评价情况及评价结论（附相关评分表）</w:t>
      </w:r>
    </w:p>
    <w:p w14:paraId="012884C6">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根据《湖南省预算支出绩效评价管理办法》（湘财绩〔2020〕7号）和《新晃侗族自治县财政局关于开展202</w:t>
      </w:r>
      <w:r>
        <w:rPr>
          <w:rFonts w:hint="eastAsia" w:ascii="仿宋" w:hAnsi="仿宋" w:eastAsia="仿宋"/>
          <w:sz w:val="32"/>
          <w:szCs w:val="32"/>
          <w:lang w:val="en-US" w:eastAsia="zh-CN"/>
        </w:rPr>
        <w:t>4</w:t>
      </w:r>
      <w:r>
        <w:rPr>
          <w:rFonts w:hint="eastAsia" w:ascii="仿宋" w:hAnsi="仿宋" w:eastAsia="仿宋"/>
          <w:sz w:val="32"/>
          <w:szCs w:val="32"/>
        </w:rPr>
        <w:t>年度部门预算支出绩效自评工作的通知》（晃财绩〔202</w:t>
      </w:r>
      <w:r>
        <w:rPr>
          <w:rFonts w:hint="eastAsia" w:ascii="仿宋" w:hAnsi="仿宋" w:eastAsia="仿宋"/>
          <w:sz w:val="32"/>
          <w:szCs w:val="32"/>
          <w:lang w:val="en-US" w:eastAsia="zh-CN"/>
        </w:rPr>
        <w:t>5</w:t>
      </w:r>
      <w:r>
        <w:rPr>
          <w:rFonts w:hint="eastAsia" w:ascii="仿宋" w:hAnsi="仿宋" w:eastAsia="仿宋"/>
          <w:sz w:val="32"/>
          <w:szCs w:val="32"/>
        </w:rPr>
        <w:t>〕</w:t>
      </w:r>
      <w:r>
        <w:rPr>
          <w:rFonts w:hint="eastAsia" w:ascii="仿宋" w:hAnsi="仿宋" w:eastAsia="仿宋"/>
          <w:sz w:val="32"/>
          <w:szCs w:val="32"/>
          <w:lang w:val="en-US" w:eastAsia="zh-CN"/>
        </w:rPr>
        <w:t>1</w:t>
      </w:r>
      <w:r>
        <w:rPr>
          <w:rFonts w:hint="eastAsia" w:ascii="仿宋" w:hAnsi="仿宋" w:eastAsia="仿宋"/>
          <w:sz w:val="32"/>
          <w:szCs w:val="32"/>
        </w:rPr>
        <w:t>号）等文件要求，我单位成立了绩效自评工作小组，对</w:t>
      </w:r>
      <w:r>
        <w:rPr>
          <w:rFonts w:hint="eastAsia" w:ascii="仿宋" w:hAnsi="仿宋" w:eastAsia="仿宋"/>
          <w:sz w:val="32"/>
          <w:szCs w:val="32"/>
          <w:lang w:val="en-US" w:eastAsia="zh-CN"/>
        </w:rPr>
        <w:t>义务教育生均公用经费</w:t>
      </w:r>
      <w:r>
        <w:rPr>
          <w:rFonts w:hint="eastAsia" w:ascii="仿宋" w:hAnsi="仿宋" w:eastAsia="仿宋"/>
          <w:sz w:val="32"/>
          <w:szCs w:val="32"/>
        </w:rPr>
        <w:t>项目支出开展了绩效自评工作。组织人员收集项目资料，检查会计凭证，在规定的时间内，对项目的实施过程进行了全面、科学、细致的评价。</w:t>
      </w:r>
    </w:p>
    <w:p w14:paraId="3AA99CBF">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本次自评，对照项目绩效目标，从项目预算编制、项目组织管理、资金使用、项目产出、项目效益、满意度等方面逐一分析评价，总体自评得分</w:t>
      </w:r>
      <w:r>
        <w:rPr>
          <w:rFonts w:hint="eastAsia" w:ascii="仿宋" w:hAnsi="仿宋" w:eastAsia="仿宋"/>
          <w:sz w:val="32"/>
          <w:szCs w:val="32"/>
          <w:lang w:val="en-US" w:eastAsia="zh-CN"/>
        </w:rPr>
        <w:t>90</w:t>
      </w:r>
      <w:r>
        <w:rPr>
          <w:rFonts w:hint="eastAsia" w:ascii="仿宋" w:hAnsi="仿宋" w:eastAsia="仿宋"/>
          <w:sz w:val="32"/>
          <w:szCs w:val="32"/>
        </w:rPr>
        <w:t>分，绩效评价等级为“优”。</w:t>
      </w:r>
    </w:p>
    <w:p w14:paraId="20E05BE6">
      <w:pPr>
        <w:spacing w:line="560" w:lineRule="exact"/>
        <w:ind w:firstLine="643" w:firstLineChars="200"/>
        <w:jc w:val="left"/>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四、绩效评价指标分析</w:t>
      </w:r>
    </w:p>
    <w:p w14:paraId="4D09707E">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（一）项目决策情况</w:t>
      </w:r>
      <w:r>
        <w:rPr>
          <w:rFonts w:hint="eastAsia" w:ascii="仿宋" w:hAnsi="仿宋" w:eastAsia="仿宋"/>
          <w:sz w:val="32"/>
          <w:szCs w:val="32"/>
          <w:lang w:eastAsia="zh-CN"/>
        </w:rPr>
        <w:t>：</w:t>
      </w:r>
      <w:r>
        <w:rPr>
          <w:rFonts w:hint="eastAsia" w:ascii="仿宋" w:hAnsi="仿宋" w:eastAsia="仿宋"/>
          <w:sz w:val="32"/>
          <w:szCs w:val="32"/>
        </w:rPr>
        <w:t>通过</w:t>
      </w:r>
      <w:r>
        <w:rPr>
          <w:rFonts w:hint="eastAsia" w:ascii="仿宋" w:hAnsi="仿宋" w:eastAsia="仿宋"/>
          <w:sz w:val="32"/>
          <w:szCs w:val="32"/>
          <w:lang w:eastAsia="zh-CN"/>
        </w:rPr>
        <w:t>年初对该项专项经费认真列好支出预算，严格按照专项资金管理制度保证资金及时足额发放到位。</w:t>
      </w:r>
    </w:p>
    <w:p w14:paraId="2675454A">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（二）项目过程情况</w:t>
      </w:r>
      <w:r>
        <w:rPr>
          <w:rFonts w:hint="eastAsia" w:ascii="仿宋" w:hAnsi="仿宋" w:eastAsia="仿宋"/>
          <w:sz w:val="32"/>
          <w:szCs w:val="32"/>
          <w:lang w:eastAsia="zh-CN"/>
        </w:rPr>
        <w:t>：</w:t>
      </w:r>
      <w:r>
        <w:rPr>
          <w:rFonts w:hint="eastAsia" w:ascii="仿宋" w:hAnsi="仿宋" w:eastAsia="仿宋"/>
          <w:sz w:val="32"/>
          <w:szCs w:val="32"/>
        </w:rPr>
        <w:t>此项项目资金严格按照专项资金管理办法，按规定控制资金使用范围。资金使用符合项目预算批复或合同规定用途，不存在截留、挤占、挪用、虚列支出、违规使用等情况。</w:t>
      </w:r>
    </w:p>
    <w:p w14:paraId="29CC1504">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（三）项目产出情况</w:t>
      </w:r>
      <w:r>
        <w:rPr>
          <w:rFonts w:hint="eastAsia" w:ascii="仿宋" w:hAnsi="仿宋" w:eastAsia="仿宋"/>
          <w:sz w:val="32"/>
          <w:szCs w:val="32"/>
          <w:lang w:eastAsia="zh-CN"/>
        </w:rPr>
        <w:t>：</w:t>
      </w:r>
    </w:p>
    <w:p w14:paraId="69A46714">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sz w:val="32"/>
          <w:szCs w:val="32"/>
          <w:lang w:eastAsia="zh-CN"/>
        </w:rPr>
        <w:t>产出目标：</w:t>
      </w:r>
      <w:r>
        <w:rPr>
          <w:rFonts w:hint="eastAsia" w:ascii="仿宋" w:hAnsi="仿宋" w:eastAsia="仿宋" w:cs="Times New Roman"/>
          <w:sz w:val="32"/>
          <w:szCs w:val="32"/>
          <w:lang w:val="en-US" w:eastAsia="zh-CN" w:bidi="ar-SA"/>
        </w:rPr>
        <w:t>保障学校正常运转，促进学生健康快乐成长。</w:t>
      </w:r>
    </w:p>
    <w:p w14:paraId="6F991527">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产出数量：</w:t>
      </w:r>
      <w:r>
        <w:rPr>
          <w:rFonts w:hint="eastAsia" w:ascii="仿宋" w:hAnsi="仿宋" w:eastAsia="仿宋" w:cs="Times New Roman"/>
          <w:sz w:val="32"/>
          <w:szCs w:val="32"/>
          <w:lang w:val="en-US" w:eastAsia="zh-CN" w:bidi="ar-SA"/>
        </w:rPr>
        <w:t>义务教育生均公用经费总金额。</w:t>
      </w:r>
    </w:p>
    <w:p w14:paraId="3FB84485">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sz w:val="32"/>
          <w:szCs w:val="32"/>
          <w:lang w:eastAsia="zh-CN"/>
        </w:rPr>
        <w:t>产出时效：</w:t>
      </w:r>
      <w:r>
        <w:rPr>
          <w:rFonts w:hint="eastAsia" w:ascii="仿宋" w:hAnsi="仿宋" w:eastAsia="仿宋"/>
          <w:sz w:val="32"/>
          <w:szCs w:val="32"/>
          <w:lang w:val="en-US" w:eastAsia="zh-CN"/>
        </w:rPr>
        <w:t>完成本年义务教育生均公用经费项目。</w:t>
      </w:r>
    </w:p>
    <w:p w14:paraId="63F3A2BF">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成本控制：</w:t>
      </w:r>
      <w:r>
        <w:rPr>
          <w:rFonts w:hint="eastAsia" w:ascii="仿宋" w:hAnsi="仿宋" w:eastAsia="仿宋" w:cs="Times New Roman"/>
          <w:sz w:val="32"/>
          <w:szCs w:val="32"/>
          <w:lang w:val="en-US" w:eastAsia="zh-CN" w:bidi="ar-SA"/>
        </w:rPr>
        <w:t>营养改善计划</w:t>
      </w:r>
      <w:r>
        <w:rPr>
          <w:rFonts w:hint="eastAsia" w:ascii="仿宋" w:hAnsi="仿宋" w:eastAsia="仿宋"/>
          <w:sz w:val="32"/>
          <w:szCs w:val="32"/>
          <w:lang w:val="en-US" w:eastAsia="zh-CN"/>
        </w:rPr>
        <w:t>26.23万元，按照控制数严格执行。</w:t>
      </w:r>
    </w:p>
    <w:p w14:paraId="4EB2B47B">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（四）项目效益情况</w:t>
      </w:r>
      <w:r>
        <w:rPr>
          <w:rFonts w:hint="eastAsia" w:ascii="仿宋" w:hAnsi="仿宋" w:eastAsia="仿宋"/>
          <w:sz w:val="32"/>
          <w:szCs w:val="32"/>
          <w:lang w:eastAsia="zh-CN"/>
        </w:rPr>
        <w:t>：</w:t>
      </w:r>
      <w:r>
        <w:rPr>
          <w:rFonts w:hint="eastAsia" w:ascii="仿宋" w:hAnsi="仿宋" w:eastAsia="仿宋"/>
          <w:sz w:val="32"/>
          <w:szCs w:val="32"/>
          <w:lang w:val="en-US" w:eastAsia="zh-CN"/>
        </w:rPr>
        <w:t>学校通过精细化的预算管理和严格的审批流程，生均公用经费预算执行率达到88.94% ，确保每一笔资金都用在刀刃上，避免资金闲置与浪费，提高资金使用效率。充足经费保障教学活动开展，支持文体活动开展，丰富学生课余生活，促进学生个性发展。</w:t>
      </w:r>
    </w:p>
    <w:p w14:paraId="330D4496">
      <w:pPr>
        <w:spacing w:line="560" w:lineRule="exact"/>
        <w:ind w:left="0" w:leftChars="0" w:firstLine="643" w:firstLineChars="200"/>
        <w:jc w:val="left"/>
        <w:rPr>
          <w:rFonts w:hint="eastAsia" w:ascii="宋体" w:hAnsi="宋体" w:cs="宋体"/>
          <w:b/>
          <w:sz w:val="32"/>
          <w:szCs w:val="32"/>
        </w:rPr>
      </w:pPr>
      <w:r>
        <w:rPr>
          <w:rFonts w:hint="eastAsia" w:ascii="宋体" w:hAnsi="宋体" w:cs="宋体"/>
          <w:b/>
          <w:sz w:val="32"/>
          <w:szCs w:val="32"/>
        </w:rPr>
        <w:t>五、主要经验及做法、存在的问题及原因分析</w:t>
      </w:r>
    </w:p>
    <w:p w14:paraId="13F65208">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sz w:val="32"/>
          <w:szCs w:val="32"/>
          <w:lang w:eastAsia="zh-CN"/>
        </w:rPr>
        <w:t>经验及做法：建立规范财务制度：制定严格经费使用审批流程，每笔支出需经部门申请、财务审核、校领导审批，确保资金使用合规透明。依据学校发展规划与实际需求，科学编制年度预算，明确各项支出比例与金额，并严格按预算执行，定期进行预算执行情况分析与调整。成立由学校领导、教师代表组成的监督小组，定期对经费使用情况检查，接受全体师生与家长监督，发现问题及时整改。</w:t>
      </w:r>
    </w:p>
    <w:p w14:paraId="0286D0A0">
      <w:pPr>
        <w:numPr>
          <w:ilvl w:val="0"/>
          <w:numId w:val="2"/>
        </w:numPr>
        <w:spacing w:line="560" w:lineRule="exact"/>
        <w:ind w:leftChars="200" w:firstLine="321" w:firstLineChars="100"/>
        <w:jc w:val="left"/>
        <w:rPr>
          <w:rFonts w:hint="eastAsia" w:ascii="宋体" w:hAnsi="宋体" w:cs="宋体"/>
          <w:b/>
          <w:sz w:val="32"/>
          <w:szCs w:val="32"/>
        </w:rPr>
      </w:pPr>
      <w:r>
        <w:rPr>
          <w:rFonts w:hint="eastAsia" w:ascii="宋体" w:hAnsi="宋体" w:cs="宋体"/>
          <w:b/>
          <w:sz w:val="32"/>
          <w:szCs w:val="32"/>
        </w:rPr>
        <w:t>有关建议</w:t>
      </w:r>
    </w:p>
    <w:p w14:paraId="37D92EBA">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（一）完善资金测算，细化项目实施内容</w:t>
      </w:r>
    </w:p>
    <w:p w14:paraId="25902FAA">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建议坚持以需求为导向，根据具体资金支出方向，结合项目性质和特点，进一步完善项目完善资金测算，确保资金发挥效益。二是建议根据项目实施总体目标，结合项目具体实施内容和资金支出方向，细化项目资金支出，科学制定项目实施方案，确保资金的有效利用和最大化效益。</w:t>
      </w:r>
    </w:p>
    <w:p w14:paraId="027B9D51">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（二）严格执行项目管理制度，提高管理规范</w:t>
      </w:r>
    </w:p>
    <w:p w14:paraId="3F4F74C3">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议以过程监管为着力点，进一步加强项目实施管理。建议主管部门及时更新资金管理办法，提高资金使用效益；建议主管部门及项目实施单位健全项目建设管理长效机制，完善项目实施过程中涉及的人力、档案建设等相关制度体系，提高制度建设的完备性，确保项目实施内容完整、程序合规、资金使用规范等。建议每年及时组织人员督促该项目及时归档档案资料。</w:t>
      </w:r>
    </w:p>
    <w:p w14:paraId="6CB39C05">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（三）加强项目绩效管理，夯实绩效管理基础</w:t>
      </w:r>
    </w:p>
    <w:p w14:paraId="586BB245">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提高绩效评价的重视程度。加强预算部门绩效意识，提高财政项目资金使用绩效和科学化精细化管理水平。建立健全绩效管理办法，进一步明确部门单位预算绩效管理责任，为全面推进绩效管理工作提供制度支撑。二是提高预算绩效管理的精准度。在设定预算绩效指标时，对绩效目标完整性、合理性、针对性、可操作性进行评估，结合项目的具体情况进行细化，持续完善财政绩效评价指标体系，充分体现项目的数量、质量、时效、成本等关键指标，并使指标设定更加精确、可衡量。三是扎实做好绩效管理基础工作，严格按照规范实施部门自评，确保绩效自评工作质量。结合年度阶段性工作计划和预算绩效管理要求，组织预算绩效政策业务培训，增强业务人员实操能力，提升绩效管理业务水平。</w:t>
      </w:r>
    </w:p>
    <w:p w14:paraId="4244EB40">
      <w:pPr>
        <w:spacing w:line="560" w:lineRule="exact"/>
        <w:ind w:firstLine="643" w:firstLineChars="200"/>
        <w:jc w:val="left"/>
        <w:rPr>
          <w:rFonts w:hint="eastAsia" w:ascii="宋体" w:hAnsi="宋体" w:cs="宋体"/>
          <w:b/>
          <w:sz w:val="32"/>
          <w:szCs w:val="32"/>
        </w:rPr>
      </w:pPr>
      <w:r>
        <w:rPr>
          <w:rFonts w:hint="eastAsia" w:ascii="宋体" w:hAnsi="宋体" w:cs="宋体"/>
          <w:b/>
          <w:sz w:val="32"/>
          <w:szCs w:val="32"/>
        </w:rPr>
        <w:t>七、其他需要说明的问题</w:t>
      </w:r>
    </w:p>
    <w:p w14:paraId="14661803">
      <w:pPr>
        <w:pStyle w:val="3"/>
        <w:widowControl w:val="0"/>
        <w:spacing w:before="0" w:beforeAutospacing="0" w:after="0" w:afterAutospacing="0"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6D1F85C4">
      <w:pPr>
        <w:pStyle w:val="3"/>
        <w:widowControl w:val="0"/>
        <w:spacing w:before="0" w:beforeAutospacing="0" w:after="0" w:afterAutospacing="0" w:line="520" w:lineRule="exact"/>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新晃侗族自治县</w:t>
      </w:r>
      <w:r>
        <w:rPr>
          <w:rFonts w:hint="eastAsia" w:ascii="仿宋_GB2312" w:hAnsi="仿宋_GB2312" w:eastAsia="仿宋_GB2312" w:cs="仿宋_GB2312"/>
          <w:sz w:val="32"/>
          <w:szCs w:val="32"/>
          <w:lang w:eastAsia="zh-CN"/>
        </w:rPr>
        <w:t>鱼市镇晏家完全小学学校</w:t>
      </w:r>
      <w:r>
        <w:rPr>
          <w:rFonts w:hint="eastAsia" w:ascii="仿宋_GB2312" w:hAnsi="仿宋_GB2312" w:eastAsia="仿宋_GB2312" w:cs="仿宋_GB2312"/>
          <w:sz w:val="32"/>
          <w:szCs w:val="32"/>
        </w:rPr>
        <w:t xml:space="preserve">               </w:t>
      </w:r>
    </w:p>
    <w:p w14:paraId="44D6DB79">
      <w:pPr>
        <w:ind w:firstLine="5440" w:firstLineChars="1700"/>
        <w:jc w:val="right"/>
        <w:rPr>
          <w:rFonts w:eastAsia="仿宋_GB2312"/>
          <w:sz w:val="24"/>
        </w:rPr>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8</w:t>
      </w:r>
      <w:bookmarkStart w:id="0" w:name="_GoBack"/>
      <w:bookmarkEnd w:id="0"/>
      <w:r>
        <w:rPr>
          <w:rFonts w:hint="eastAsia" w:ascii="仿宋_GB2312" w:hAnsi="仿宋_GB2312" w:eastAsia="仿宋_GB2312" w:cs="仿宋_GB2312"/>
          <w:sz w:val="32"/>
          <w:szCs w:val="32"/>
        </w:rPr>
        <w:t>日</w:t>
      </w:r>
    </w:p>
    <w:p w14:paraId="005E057A">
      <w:pPr>
        <w:ind w:firstLine="6080" w:firstLineChars="1900"/>
        <w:jc w:val="right"/>
        <w:rPr>
          <w:rFonts w:hint="eastAsia" w:ascii="仿宋_GB2312" w:hAnsi="仿宋_GB2312" w:eastAsia="仿宋_GB2312" w:cs="仿宋_GB2312"/>
          <w:sz w:val="32"/>
          <w:szCs w:val="32"/>
        </w:rPr>
      </w:pPr>
    </w:p>
    <w:p w14:paraId="1811C72F">
      <w:pPr>
        <w:ind w:firstLine="6080" w:firstLineChars="1900"/>
        <w:rPr>
          <w:rFonts w:hint="eastAsia" w:ascii="仿宋_GB2312" w:hAnsi="仿宋_GB2312" w:eastAsia="仿宋_GB2312" w:cs="仿宋_GB2312"/>
          <w:sz w:val="32"/>
          <w:szCs w:val="32"/>
        </w:rPr>
      </w:pPr>
    </w:p>
    <w:p w14:paraId="7B095F44">
      <w:pPr>
        <w:ind w:firstLine="6080" w:firstLineChars="1900"/>
        <w:rPr>
          <w:rFonts w:hint="eastAsia" w:ascii="仿宋_GB2312" w:hAnsi="仿宋_GB2312" w:eastAsia="仿宋_GB2312" w:cs="仿宋_GB2312"/>
          <w:sz w:val="32"/>
          <w:szCs w:val="32"/>
        </w:rPr>
      </w:pPr>
    </w:p>
    <w:p w14:paraId="6FDB48FA">
      <w:pPr>
        <w:ind w:firstLine="6080" w:firstLineChars="1900"/>
        <w:rPr>
          <w:rFonts w:hint="eastAsia" w:ascii="仿宋_GB2312" w:hAnsi="仿宋_GB2312" w:eastAsia="仿宋_GB2312" w:cs="仿宋_GB2312"/>
          <w:sz w:val="32"/>
          <w:szCs w:val="32"/>
        </w:rPr>
      </w:pPr>
    </w:p>
    <w:p w14:paraId="536965B5">
      <w:pPr>
        <w:ind w:firstLine="6080" w:firstLineChars="1900"/>
        <w:rPr>
          <w:rFonts w:hint="eastAsia" w:ascii="仿宋_GB2312" w:hAnsi="仿宋_GB2312" w:eastAsia="仿宋_GB2312" w:cs="仿宋_GB2312"/>
          <w:sz w:val="32"/>
          <w:szCs w:val="32"/>
        </w:rPr>
      </w:pPr>
    </w:p>
    <w:p w14:paraId="3593B3AC">
      <w:pPr>
        <w:ind w:firstLine="6080" w:firstLineChars="1900"/>
        <w:rPr>
          <w:rFonts w:hint="eastAsia" w:ascii="仿宋_GB2312" w:hAnsi="仿宋_GB2312" w:eastAsia="仿宋_GB2312" w:cs="仿宋_GB2312"/>
          <w:sz w:val="32"/>
          <w:szCs w:val="32"/>
        </w:rPr>
      </w:pPr>
    </w:p>
    <w:p w14:paraId="701CE88C">
      <w:pPr>
        <w:ind w:firstLine="6080" w:firstLineChars="1900"/>
        <w:rPr>
          <w:rFonts w:hint="eastAsia" w:ascii="仿宋_GB2312" w:hAnsi="仿宋_GB2312" w:eastAsia="仿宋_GB2312" w:cs="仿宋_GB2312"/>
          <w:sz w:val="32"/>
          <w:szCs w:val="32"/>
        </w:rPr>
      </w:pPr>
    </w:p>
    <w:p w14:paraId="29D8FC75">
      <w:pPr>
        <w:spacing w:line="320" w:lineRule="exact"/>
        <w:ind w:left="0"/>
        <w:jc w:val="left"/>
        <w:rPr>
          <w:rFonts w:hint="eastAsia" w:ascii="仿宋_GB2312" w:hAnsi="仿宋_GB2312" w:eastAsia="仿宋_GB2312" w:cs="仿宋_GB2312"/>
          <w:b/>
          <w:sz w:val="28"/>
          <w:szCs w:val="28"/>
        </w:rPr>
      </w:pPr>
    </w:p>
    <w:p w14:paraId="32C414E0">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4DE3B5A5">
      <w:pPr>
        <w:spacing w:line="320" w:lineRule="exact"/>
        <w:ind w:left="0"/>
        <w:jc w:val="left"/>
        <w:rPr>
          <w:rFonts w:hint="eastAsia" w:ascii="仿宋_GB2312" w:hAnsi="仿宋_GB2312" w:eastAsia="仿宋_GB2312" w:cs="仿宋_GB2312"/>
          <w:b/>
          <w:sz w:val="24"/>
        </w:rPr>
      </w:pPr>
      <w:r>
        <w:rPr>
          <w:rFonts w:hint="eastAsia" w:ascii="仿宋_GB2312" w:hAnsi="仿宋_GB2312" w:eastAsia="仿宋_GB2312" w:cs="仿宋_GB2312"/>
          <w:b/>
          <w:sz w:val="28"/>
          <w:szCs w:val="28"/>
        </w:rPr>
        <w:t>附件2-1</w:t>
      </w:r>
    </w:p>
    <w:p w14:paraId="42B5B615">
      <w:pPr>
        <w:spacing w:line="800" w:lineRule="exact"/>
        <w:jc w:val="center"/>
        <w:rPr>
          <w:rFonts w:hint="eastAsia" w:ascii="宋体" w:hAnsi="宋体"/>
          <w:b/>
          <w:w w:val="90"/>
          <w:sz w:val="36"/>
          <w:szCs w:val="36"/>
        </w:rPr>
      </w:pPr>
      <w:r>
        <w:rPr>
          <w:rFonts w:hint="eastAsia" w:ascii="宋体" w:hAnsi="宋体"/>
          <w:b/>
          <w:w w:val="90"/>
          <w:sz w:val="36"/>
          <w:szCs w:val="36"/>
        </w:rPr>
        <w:t>2024年度新晃县项目绩效自评计分标准</w:t>
      </w:r>
    </w:p>
    <w:tbl>
      <w:tblPr>
        <w:tblStyle w:val="5"/>
        <w:tblW w:w="8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1"/>
        <w:gridCol w:w="727"/>
        <w:gridCol w:w="6770"/>
      </w:tblGrid>
      <w:tr w14:paraId="5A68E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trPr>
        <w:tc>
          <w:tcPr>
            <w:tcW w:w="1321" w:type="dxa"/>
            <w:noWrap w:val="0"/>
            <w:vAlign w:val="center"/>
          </w:tcPr>
          <w:p w14:paraId="67611D3E">
            <w:pPr>
              <w:spacing w:line="340" w:lineRule="exact"/>
              <w:jc w:val="center"/>
              <w:rPr>
                <w:rFonts w:eastAsia="仿宋_GB2312"/>
                <w:sz w:val="24"/>
              </w:rPr>
            </w:pPr>
            <w:r>
              <w:rPr>
                <w:rFonts w:eastAsia="仿宋_GB2312"/>
                <w:sz w:val="24"/>
              </w:rPr>
              <w:t>评价内容</w:t>
            </w:r>
          </w:p>
        </w:tc>
        <w:tc>
          <w:tcPr>
            <w:tcW w:w="727" w:type="dxa"/>
            <w:noWrap w:val="0"/>
            <w:vAlign w:val="center"/>
          </w:tcPr>
          <w:p w14:paraId="11ECD454">
            <w:pPr>
              <w:spacing w:line="340" w:lineRule="exact"/>
              <w:jc w:val="center"/>
              <w:rPr>
                <w:rFonts w:eastAsia="仿宋_GB2312"/>
                <w:sz w:val="24"/>
              </w:rPr>
            </w:pPr>
            <w:r>
              <w:rPr>
                <w:rFonts w:eastAsia="仿宋_GB2312"/>
                <w:sz w:val="24"/>
              </w:rPr>
              <w:t>分值</w:t>
            </w:r>
          </w:p>
        </w:tc>
        <w:tc>
          <w:tcPr>
            <w:tcW w:w="6770" w:type="dxa"/>
            <w:noWrap w:val="0"/>
            <w:vAlign w:val="center"/>
          </w:tcPr>
          <w:p w14:paraId="6D5961B2">
            <w:pPr>
              <w:spacing w:line="340" w:lineRule="exact"/>
              <w:jc w:val="center"/>
              <w:rPr>
                <w:rFonts w:eastAsia="仿宋_GB2312"/>
                <w:sz w:val="24"/>
              </w:rPr>
            </w:pPr>
            <w:r>
              <w:rPr>
                <w:rFonts w:eastAsia="仿宋_GB2312"/>
                <w:sz w:val="24"/>
              </w:rPr>
              <w:t>评分标准</w:t>
            </w:r>
          </w:p>
        </w:tc>
      </w:tr>
      <w:tr w14:paraId="1065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1" w:type="dxa"/>
            <w:noWrap w:val="0"/>
            <w:vAlign w:val="center"/>
          </w:tcPr>
          <w:p w14:paraId="0268A7A9">
            <w:pPr>
              <w:spacing w:line="340" w:lineRule="exact"/>
              <w:jc w:val="center"/>
              <w:rPr>
                <w:rFonts w:eastAsia="仿宋_GB2312"/>
                <w:sz w:val="24"/>
              </w:rPr>
            </w:pPr>
            <w:r>
              <w:rPr>
                <w:rFonts w:eastAsia="仿宋_GB2312"/>
                <w:sz w:val="24"/>
              </w:rPr>
              <w:t>项目预算及预期绩效目标编制水平</w:t>
            </w:r>
          </w:p>
        </w:tc>
        <w:tc>
          <w:tcPr>
            <w:tcW w:w="727" w:type="dxa"/>
            <w:noWrap w:val="0"/>
            <w:vAlign w:val="center"/>
          </w:tcPr>
          <w:p w14:paraId="53094E3A">
            <w:pPr>
              <w:spacing w:line="340" w:lineRule="exact"/>
              <w:jc w:val="center"/>
              <w:rPr>
                <w:rFonts w:eastAsia="仿宋_GB2312"/>
                <w:sz w:val="24"/>
              </w:rPr>
            </w:pPr>
            <w:r>
              <w:rPr>
                <w:rFonts w:eastAsia="仿宋_GB2312"/>
                <w:sz w:val="24"/>
              </w:rPr>
              <w:t>10</w:t>
            </w:r>
          </w:p>
        </w:tc>
        <w:tc>
          <w:tcPr>
            <w:tcW w:w="6770" w:type="dxa"/>
            <w:noWrap w:val="0"/>
            <w:vAlign w:val="top"/>
          </w:tcPr>
          <w:p w14:paraId="43E72FCD">
            <w:pPr>
              <w:spacing w:line="460" w:lineRule="exact"/>
              <w:rPr>
                <w:rFonts w:eastAsia="仿宋_GB2312"/>
                <w:sz w:val="24"/>
              </w:rPr>
            </w:pPr>
            <w:r>
              <w:rPr>
                <w:rFonts w:eastAsia="仿宋_GB2312"/>
                <w:sz w:val="24"/>
              </w:rPr>
              <w:t>1、项目预算（即投入目标）的科学、合理性，5分。项目预算编制存在下列问题的，各扣1分，扣完为止：（1）项目设置与部门（单位）履职无关或与部门（单位）职能衔接不够，与其他项目存在重叠交叉；（2）将由非本级政府（财政）承担的事项列入本级项目支出责任范围；（3）项目支出事项测算没有具体的数量、规格、型号或人数、天数等基本信息；（4）项目支出事项测算与市场价格相差很远，或没有体现厉行节约原则；（5）将未经政府批准，或未受委托履行政府职能的中介机构、协会、学会等非预算单位的经费补助编入项目预算；（6）将接待经费、未经批准的临时人员工资或没有依据的津补贴、奖金、福利等编入项目预算；（7）将没有具体内容的“其他”、“不可预见费”和“机动经费”等编入项目预算。</w:t>
            </w:r>
          </w:p>
          <w:p w14:paraId="735AE623">
            <w:pPr>
              <w:spacing w:line="460" w:lineRule="exact"/>
              <w:rPr>
                <w:rFonts w:eastAsia="仿宋_GB2312"/>
                <w:sz w:val="24"/>
              </w:rPr>
            </w:pPr>
            <w:r>
              <w:rPr>
                <w:rFonts w:eastAsia="仿宋_GB2312"/>
                <w:sz w:val="24"/>
              </w:rPr>
              <w:t>2、项目预期绩效目标的完整性、相关性，3分。申报的产出或效果类绩效目标没有设定相关联的绩效指标，各扣</w:t>
            </w:r>
            <w:r>
              <w:rPr>
                <w:rFonts w:hint="eastAsia" w:eastAsia="仿宋_GB2312"/>
                <w:sz w:val="24"/>
              </w:rPr>
              <w:t>0.8</w:t>
            </w:r>
            <w:r>
              <w:rPr>
                <w:rFonts w:eastAsia="仿宋_GB2312"/>
                <w:sz w:val="24"/>
              </w:rPr>
              <w:t>分；设置的产出或效果类关键性指标可以量化而没有量化的，各扣</w:t>
            </w:r>
            <w:r>
              <w:rPr>
                <w:rFonts w:hint="eastAsia" w:eastAsia="仿宋_GB2312"/>
                <w:sz w:val="24"/>
              </w:rPr>
              <w:t>0.7</w:t>
            </w:r>
            <w:r>
              <w:rPr>
                <w:rFonts w:eastAsia="仿宋_GB2312"/>
                <w:sz w:val="24"/>
              </w:rPr>
              <w:t>分；没有申报项目预期绩效目标的，不得分。</w:t>
            </w:r>
          </w:p>
          <w:p w14:paraId="4E7F1DF6">
            <w:pPr>
              <w:spacing w:line="460" w:lineRule="exact"/>
              <w:rPr>
                <w:rFonts w:eastAsia="仿宋_GB2312"/>
                <w:sz w:val="24"/>
              </w:rPr>
            </w:pPr>
            <w:r>
              <w:rPr>
                <w:rFonts w:eastAsia="仿宋_GB2312"/>
                <w:sz w:val="24"/>
              </w:rPr>
              <w:t>3、项目预算（投入目标）与项目产出、效果目标的匹配性，2分。在既定资金规模下，项目产出、效果目标过高或过低；或者要完成既定项目产出、效果目标，资金规模过大或过小的，不得分；没有申报绩效目标，无法判定项目投入目标与产出、效果目标的匹配性的，不得分。</w:t>
            </w:r>
          </w:p>
        </w:tc>
      </w:tr>
      <w:tr w14:paraId="24DE3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321" w:type="dxa"/>
            <w:noWrap w:val="0"/>
            <w:vAlign w:val="center"/>
          </w:tcPr>
          <w:p w14:paraId="388F5D10">
            <w:pPr>
              <w:spacing w:line="300" w:lineRule="exact"/>
              <w:jc w:val="center"/>
              <w:rPr>
                <w:rFonts w:eastAsia="仿宋_GB2312"/>
                <w:sz w:val="24"/>
              </w:rPr>
            </w:pPr>
            <w:r>
              <w:rPr>
                <w:rFonts w:eastAsia="仿宋_GB2312"/>
                <w:sz w:val="24"/>
              </w:rPr>
              <w:t>预算执行率</w:t>
            </w:r>
          </w:p>
        </w:tc>
        <w:tc>
          <w:tcPr>
            <w:tcW w:w="727" w:type="dxa"/>
            <w:noWrap w:val="0"/>
            <w:vAlign w:val="center"/>
          </w:tcPr>
          <w:p w14:paraId="505D4569">
            <w:pPr>
              <w:spacing w:line="340" w:lineRule="exact"/>
              <w:jc w:val="center"/>
              <w:rPr>
                <w:rFonts w:eastAsia="仿宋_GB2312"/>
                <w:sz w:val="24"/>
              </w:rPr>
            </w:pPr>
            <w:r>
              <w:rPr>
                <w:rFonts w:eastAsia="仿宋_GB2312"/>
                <w:sz w:val="24"/>
              </w:rPr>
              <w:t>10</w:t>
            </w:r>
          </w:p>
        </w:tc>
        <w:tc>
          <w:tcPr>
            <w:tcW w:w="6770" w:type="dxa"/>
            <w:noWrap w:val="0"/>
            <w:vAlign w:val="center"/>
          </w:tcPr>
          <w:p w14:paraId="55589FCE">
            <w:pPr>
              <w:spacing w:line="440" w:lineRule="exact"/>
              <w:rPr>
                <w:rFonts w:eastAsia="仿宋_GB2312"/>
                <w:sz w:val="24"/>
              </w:rPr>
            </w:pPr>
            <w:r>
              <w:rPr>
                <w:rFonts w:eastAsia="仿宋_GB2312"/>
                <w:sz w:val="24"/>
              </w:rPr>
              <w:t>预算执行率S≥95%，得满分；每下降1%，扣0.25分，扣完为止。</w:t>
            </w:r>
          </w:p>
        </w:tc>
      </w:tr>
      <w:tr w14:paraId="0123E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1321" w:type="dxa"/>
            <w:noWrap w:val="0"/>
            <w:vAlign w:val="center"/>
          </w:tcPr>
          <w:p w14:paraId="5CB637E9">
            <w:pPr>
              <w:spacing w:line="340" w:lineRule="exact"/>
              <w:jc w:val="center"/>
              <w:rPr>
                <w:rFonts w:hint="eastAsia" w:eastAsia="仿宋_GB2312"/>
                <w:sz w:val="24"/>
              </w:rPr>
            </w:pPr>
            <w:r>
              <w:rPr>
                <w:rFonts w:eastAsia="仿宋_GB2312"/>
                <w:sz w:val="24"/>
              </w:rPr>
              <w:t>项目组织</w:t>
            </w:r>
          </w:p>
          <w:p w14:paraId="5FEC09EA">
            <w:pPr>
              <w:spacing w:line="340" w:lineRule="exact"/>
              <w:jc w:val="center"/>
              <w:rPr>
                <w:rFonts w:eastAsia="仿宋_GB2312"/>
                <w:sz w:val="24"/>
              </w:rPr>
            </w:pPr>
            <w:r>
              <w:rPr>
                <w:rFonts w:eastAsia="仿宋_GB2312"/>
                <w:sz w:val="24"/>
              </w:rPr>
              <w:t>管理水平</w:t>
            </w:r>
          </w:p>
        </w:tc>
        <w:tc>
          <w:tcPr>
            <w:tcW w:w="727" w:type="dxa"/>
            <w:noWrap w:val="0"/>
            <w:vAlign w:val="center"/>
          </w:tcPr>
          <w:p w14:paraId="63378E0C">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14:paraId="33EB01B2">
            <w:pPr>
              <w:spacing w:line="460" w:lineRule="exact"/>
              <w:rPr>
                <w:rFonts w:eastAsia="仿宋_GB2312"/>
                <w:sz w:val="24"/>
              </w:rPr>
            </w:pPr>
            <w:r>
              <w:rPr>
                <w:rFonts w:eastAsia="仿宋_GB2312"/>
                <w:sz w:val="24"/>
              </w:rPr>
              <w:t>1、建立健全项目管理制度，得</w:t>
            </w:r>
            <w:r>
              <w:rPr>
                <w:rFonts w:hint="eastAsia" w:eastAsia="仿宋_GB2312"/>
                <w:sz w:val="24"/>
              </w:rPr>
              <w:t>4</w:t>
            </w:r>
            <w:r>
              <w:rPr>
                <w:rFonts w:eastAsia="仿宋_GB2312"/>
                <w:sz w:val="24"/>
              </w:rPr>
              <w:t>分。</w:t>
            </w:r>
          </w:p>
          <w:p w14:paraId="5E9DE436">
            <w:pPr>
              <w:spacing w:line="460" w:lineRule="exact"/>
              <w:rPr>
                <w:rFonts w:eastAsia="仿宋_GB2312"/>
                <w:sz w:val="24"/>
              </w:rPr>
            </w:pPr>
            <w:r>
              <w:rPr>
                <w:rFonts w:eastAsia="仿宋_GB2312"/>
                <w:sz w:val="24"/>
              </w:rPr>
              <w:t>2、严格执行项目管理制度，得</w:t>
            </w:r>
            <w:r>
              <w:rPr>
                <w:rFonts w:hint="eastAsia" w:eastAsia="仿宋_GB2312"/>
                <w:sz w:val="24"/>
              </w:rPr>
              <w:t>6</w:t>
            </w:r>
            <w:r>
              <w:rPr>
                <w:rFonts w:eastAsia="仿宋_GB2312"/>
                <w:sz w:val="24"/>
              </w:rPr>
              <w:t>分。其中，购买商品、工程和服务不依法政府采购或工程项目不按规定招投标的，不得分。</w:t>
            </w:r>
          </w:p>
        </w:tc>
      </w:tr>
      <w:tr w14:paraId="27137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0" w:hRule="atLeast"/>
        </w:trPr>
        <w:tc>
          <w:tcPr>
            <w:tcW w:w="1321" w:type="dxa"/>
            <w:noWrap w:val="0"/>
            <w:vAlign w:val="center"/>
          </w:tcPr>
          <w:p w14:paraId="3D236367">
            <w:pPr>
              <w:spacing w:line="340" w:lineRule="exact"/>
              <w:jc w:val="center"/>
              <w:rPr>
                <w:rFonts w:hint="eastAsia" w:eastAsia="仿宋_GB2312"/>
                <w:sz w:val="24"/>
              </w:rPr>
            </w:pPr>
            <w:r>
              <w:rPr>
                <w:rFonts w:eastAsia="仿宋_GB2312"/>
                <w:sz w:val="24"/>
              </w:rPr>
              <w:t>资金支出</w:t>
            </w:r>
          </w:p>
          <w:p w14:paraId="38CA8111">
            <w:pPr>
              <w:spacing w:line="340" w:lineRule="exact"/>
              <w:jc w:val="center"/>
              <w:rPr>
                <w:rFonts w:eastAsia="仿宋_GB2312"/>
                <w:sz w:val="24"/>
              </w:rPr>
            </w:pPr>
            <w:r>
              <w:rPr>
                <w:rFonts w:eastAsia="仿宋_GB2312"/>
                <w:sz w:val="24"/>
              </w:rPr>
              <w:t>合理合规</w:t>
            </w:r>
          </w:p>
        </w:tc>
        <w:tc>
          <w:tcPr>
            <w:tcW w:w="727" w:type="dxa"/>
            <w:noWrap w:val="0"/>
            <w:vAlign w:val="center"/>
          </w:tcPr>
          <w:p w14:paraId="4102413E">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14:paraId="1C4FC7CF">
            <w:pPr>
              <w:spacing w:line="460" w:lineRule="exact"/>
              <w:rPr>
                <w:rFonts w:eastAsia="仿宋_GB2312"/>
                <w:sz w:val="24"/>
              </w:rPr>
            </w:pPr>
            <w:r>
              <w:rPr>
                <w:rFonts w:eastAsia="仿宋_GB2312"/>
                <w:sz w:val="24"/>
              </w:rPr>
              <w:t>资金支出合理合规比率=（项目资金支出-不合理合规资金支出）/项目资金支出×100%。</w:t>
            </w:r>
          </w:p>
          <w:p w14:paraId="6AF63BD9">
            <w:pPr>
              <w:spacing w:line="460" w:lineRule="exact"/>
              <w:rPr>
                <w:rFonts w:eastAsia="仿宋_GB2312"/>
                <w:sz w:val="24"/>
              </w:rPr>
            </w:pPr>
            <w:r>
              <w:rPr>
                <w:rFonts w:eastAsia="仿宋_GB2312"/>
                <w:sz w:val="24"/>
              </w:rPr>
              <w:t>不合理合规资金支出是指项目资金支出超出项目预算范围，与本项目预算不相符、无关或不符合国家财经法规和财务管理制度以及专项资金管理办法等规定的支出，如以虚报、冒领等手段骗取财政资金；截留、挪用财政资金；滞留应当下拨的财政资金；违反规定扩大开支范围，提高开支标准；违规发放津贴补贴；白条入账等。</w:t>
            </w:r>
          </w:p>
          <w:p w14:paraId="1A28730A">
            <w:pPr>
              <w:spacing w:line="460" w:lineRule="exact"/>
              <w:rPr>
                <w:rFonts w:eastAsia="仿宋_GB2312"/>
                <w:sz w:val="24"/>
              </w:rPr>
            </w:pPr>
            <w:r>
              <w:rPr>
                <w:rFonts w:eastAsia="仿宋_GB2312"/>
                <w:sz w:val="24"/>
              </w:rPr>
              <w:t>资金支出合理合规比率S=100%，得满分；每下降1%，扣1分，扣完为止。</w:t>
            </w:r>
          </w:p>
        </w:tc>
      </w:tr>
      <w:tr w14:paraId="4A79F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1321" w:type="dxa"/>
            <w:noWrap w:val="0"/>
            <w:vAlign w:val="center"/>
          </w:tcPr>
          <w:p w14:paraId="127A3628">
            <w:pPr>
              <w:spacing w:line="340" w:lineRule="exact"/>
              <w:jc w:val="center"/>
              <w:rPr>
                <w:rFonts w:eastAsia="仿宋_GB2312"/>
                <w:sz w:val="24"/>
              </w:rPr>
            </w:pPr>
            <w:r>
              <w:rPr>
                <w:rFonts w:eastAsia="仿宋_GB2312"/>
                <w:sz w:val="24"/>
              </w:rPr>
              <w:t>项目</w:t>
            </w:r>
          </w:p>
          <w:p w14:paraId="1EF71A87">
            <w:pPr>
              <w:spacing w:line="340" w:lineRule="exact"/>
              <w:jc w:val="center"/>
              <w:rPr>
                <w:rFonts w:eastAsia="仿宋_GB2312"/>
                <w:sz w:val="24"/>
              </w:rPr>
            </w:pPr>
            <w:r>
              <w:rPr>
                <w:rFonts w:eastAsia="仿宋_GB2312"/>
                <w:sz w:val="24"/>
              </w:rPr>
              <w:t>产出</w:t>
            </w:r>
          </w:p>
        </w:tc>
        <w:tc>
          <w:tcPr>
            <w:tcW w:w="727" w:type="dxa"/>
            <w:noWrap w:val="0"/>
            <w:vAlign w:val="center"/>
          </w:tcPr>
          <w:p w14:paraId="074AB9AF">
            <w:pPr>
              <w:spacing w:line="340" w:lineRule="exact"/>
              <w:jc w:val="center"/>
              <w:rPr>
                <w:rFonts w:eastAsia="仿宋_GB2312"/>
                <w:sz w:val="24"/>
              </w:rPr>
            </w:pPr>
            <w:r>
              <w:rPr>
                <w:rFonts w:eastAsia="仿宋_GB2312"/>
                <w:sz w:val="24"/>
              </w:rPr>
              <w:t>30</w:t>
            </w:r>
          </w:p>
        </w:tc>
        <w:tc>
          <w:tcPr>
            <w:tcW w:w="6770" w:type="dxa"/>
            <w:noWrap w:val="0"/>
            <w:vAlign w:val="top"/>
          </w:tcPr>
          <w:p w14:paraId="1CEFE594">
            <w:pPr>
              <w:spacing w:line="460" w:lineRule="exact"/>
              <w:rPr>
                <w:rFonts w:eastAsia="仿宋_GB2312"/>
                <w:sz w:val="24"/>
              </w:rPr>
            </w:pPr>
            <w:r>
              <w:rPr>
                <w:rFonts w:eastAsia="仿宋_GB2312"/>
                <w:sz w:val="24"/>
              </w:rPr>
              <w:t>要求根据项目性质和项目预期绩效目标（产出类目标），细化为产出数量、产出质量、产出时效、成本控制等方面进行评价。具体指标可量化的，按完成量化比例计分；具体指标不可量化的，按工作完成程度定性分成：完成、基本完成、基本未完成、未执行四档，分别按100%、90%－60%、50%－10%、0%计分。</w:t>
            </w:r>
          </w:p>
        </w:tc>
      </w:tr>
      <w:tr w14:paraId="1E9A8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1321" w:type="dxa"/>
            <w:noWrap w:val="0"/>
            <w:vAlign w:val="center"/>
          </w:tcPr>
          <w:p w14:paraId="22C48547">
            <w:pPr>
              <w:spacing w:line="340" w:lineRule="exact"/>
              <w:jc w:val="center"/>
              <w:rPr>
                <w:rFonts w:hint="eastAsia" w:eastAsia="仿宋_GB2312"/>
                <w:sz w:val="24"/>
              </w:rPr>
            </w:pPr>
            <w:r>
              <w:rPr>
                <w:rFonts w:eastAsia="仿宋_GB2312"/>
                <w:sz w:val="24"/>
              </w:rPr>
              <w:t>项目效益</w:t>
            </w:r>
          </w:p>
          <w:p w14:paraId="440070B2">
            <w:pPr>
              <w:spacing w:line="340" w:lineRule="exact"/>
              <w:jc w:val="center"/>
              <w:rPr>
                <w:rFonts w:eastAsia="仿宋_GB2312"/>
                <w:sz w:val="24"/>
              </w:rPr>
            </w:pPr>
            <w:r>
              <w:rPr>
                <w:rFonts w:eastAsia="仿宋_GB2312"/>
                <w:sz w:val="24"/>
              </w:rPr>
              <w:t>（效果）</w:t>
            </w:r>
          </w:p>
        </w:tc>
        <w:tc>
          <w:tcPr>
            <w:tcW w:w="727" w:type="dxa"/>
            <w:noWrap w:val="0"/>
            <w:vAlign w:val="center"/>
          </w:tcPr>
          <w:p w14:paraId="0ECA2B7E">
            <w:pPr>
              <w:spacing w:line="340" w:lineRule="exact"/>
              <w:jc w:val="center"/>
              <w:rPr>
                <w:rFonts w:eastAsia="仿宋_GB2312"/>
                <w:sz w:val="24"/>
              </w:rPr>
            </w:pPr>
            <w:r>
              <w:rPr>
                <w:rFonts w:eastAsia="仿宋_GB2312"/>
                <w:sz w:val="24"/>
              </w:rPr>
              <w:t>20</w:t>
            </w:r>
          </w:p>
        </w:tc>
        <w:tc>
          <w:tcPr>
            <w:tcW w:w="6770" w:type="dxa"/>
            <w:noWrap w:val="0"/>
            <w:vAlign w:val="top"/>
          </w:tcPr>
          <w:p w14:paraId="16705DC2">
            <w:pPr>
              <w:spacing w:line="460" w:lineRule="exact"/>
              <w:rPr>
                <w:rFonts w:eastAsia="仿宋_GB2312"/>
                <w:sz w:val="24"/>
              </w:rPr>
            </w:pPr>
            <w:r>
              <w:rPr>
                <w:rFonts w:eastAsia="仿宋_GB2312"/>
                <w:sz w:val="24"/>
              </w:rPr>
              <w:t>要求根据项目性质和项目预期绩效目标（效益或效果类目标），细化为经济效益、社会效益、环境效益和可持续影响及服务对象满意度等具体绩效指标进行评价。具体指标可量化的，按取得效益或效果的量化比例计分；不可量化的，按目标达到程度分成：达到、基本达到、基本未达到、未达到四档，分别按100%、90%－60%、50%－10%、0%计分。</w:t>
            </w:r>
          </w:p>
        </w:tc>
      </w:tr>
      <w:tr w14:paraId="2F5DD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trPr>
        <w:tc>
          <w:tcPr>
            <w:tcW w:w="1321" w:type="dxa"/>
            <w:noWrap w:val="0"/>
            <w:vAlign w:val="center"/>
          </w:tcPr>
          <w:p w14:paraId="1729C2B2">
            <w:pPr>
              <w:spacing w:line="340" w:lineRule="exact"/>
              <w:jc w:val="center"/>
              <w:rPr>
                <w:rFonts w:hint="eastAsia" w:eastAsia="仿宋_GB2312"/>
                <w:sz w:val="24"/>
              </w:rPr>
            </w:pPr>
            <w:r>
              <w:rPr>
                <w:rFonts w:hint="eastAsia" w:eastAsia="仿宋_GB2312"/>
                <w:sz w:val="24"/>
              </w:rPr>
              <w:t>服务对象满意度</w:t>
            </w:r>
          </w:p>
        </w:tc>
        <w:tc>
          <w:tcPr>
            <w:tcW w:w="727" w:type="dxa"/>
            <w:noWrap w:val="0"/>
            <w:vAlign w:val="center"/>
          </w:tcPr>
          <w:p w14:paraId="57E3B7B5">
            <w:pPr>
              <w:spacing w:line="340" w:lineRule="exact"/>
              <w:jc w:val="center"/>
              <w:rPr>
                <w:rFonts w:hint="eastAsia" w:eastAsia="仿宋_GB2312"/>
                <w:sz w:val="24"/>
              </w:rPr>
            </w:pPr>
            <w:r>
              <w:rPr>
                <w:rFonts w:hint="eastAsia" w:eastAsia="仿宋_GB2312"/>
                <w:sz w:val="24"/>
              </w:rPr>
              <w:t>10</w:t>
            </w:r>
          </w:p>
        </w:tc>
        <w:tc>
          <w:tcPr>
            <w:tcW w:w="6770" w:type="dxa"/>
            <w:noWrap w:val="0"/>
            <w:vAlign w:val="top"/>
          </w:tcPr>
          <w:p w14:paraId="1F4BA94C">
            <w:pPr>
              <w:spacing w:line="340" w:lineRule="exact"/>
              <w:jc w:val="left"/>
              <w:rPr>
                <w:rFonts w:hint="eastAsia" w:eastAsia="仿宋_GB2312"/>
                <w:sz w:val="24"/>
              </w:rPr>
            </w:pPr>
            <w:r>
              <w:rPr>
                <w:rFonts w:hint="eastAsia" w:eastAsia="仿宋_GB2312"/>
                <w:sz w:val="24"/>
              </w:rPr>
              <w:t>服务对象满意度计分：</w:t>
            </w:r>
          </w:p>
          <w:p w14:paraId="399CDE93">
            <w:pPr>
              <w:spacing w:line="340" w:lineRule="exact"/>
              <w:jc w:val="left"/>
              <w:rPr>
                <w:rFonts w:hint="eastAsia" w:eastAsia="仿宋_GB2312"/>
                <w:sz w:val="24"/>
              </w:rPr>
            </w:pPr>
            <w:r>
              <w:rPr>
                <w:rFonts w:hint="eastAsia" w:eastAsia="仿宋_GB2312"/>
                <w:sz w:val="24"/>
              </w:rPr>
              <w:t>90%≤满意度≤100%记10分，</w:t>
            </w:r>
          </w:p>
          <w:p w14:paraId="3A926D3D">
            <w:pPr>
              <w:spacing w:line="340" w:lineRule="exact"/>
              <w:jc w:val="left"/>
              <w:rPr>
                <w:rFonts w:hint="eastAsia" w:eastAsia="仿宋_GB2312"/>
                <w:sz w:val="24"/>
              </w:rPr>
            </w:pPr>
            <w:r>
              <w:rPr>
                <w:rFonts w:hint="eastAsia" w:eastAsia="仿宋_GB2312"/>
                <w:sz w:val="24"/>
              </w:rPr>
              <w:t>80%≤满意度&lt;90%记8分，</w:t>
            </w:r>
          </w:p>
          <w:p w14:paraId="14481ED3">
            <w:pPr>
              <w:spacing w:line="340" w:lineRule="exact"/>
              <w:jc w:val="left"/>
              <w:rPr>
                <w:rFonts w:hint="eastAsia" w:eastAsia="仿宋_GB2312"/>
                <w:sz w:val="24"/>
              </w:rPr>
            </w:pPr>
            <w:r>
              <w:rPr>
                <w:rFonts w:hint="eastAsia" w:eastAsia="仿宋_GB2312"/>
                <w:sz w:val="24"/>
              </w:rPr>
              <w:t>70%≤满意度&lt;80%记6分，</w:t>
            </w:r>
          </w:p>
          <w:p w14:paraId="3F349F34">
            <w:pPr>
              <w:spacing w:line="340" w:lineRule="exact"/>
              <w:jc w:val="left"/>
              <w:rPr>
                <w:rFonts w:hint="eastAsia" w:eastAsia="仿宋_GB2312"/>
                <w:sz w:val="24"/>
              </w:rPr>
            </w:pPr>
            <w:r>
              <w:rPr>
                <w:rFonts w:hint="eastAsia" w:eastAsia="仿宋_GB2312"/>
                <w:sz w:val="24"/>
              </w:rPr>
              <w:t>60%≤满意度&lt;70%记4分，</w:t>
            </w:r>
          </w:p>
          <w:p w14:paraId="5BB55865">
            <w:pPr>
              <w:spacing w:line="340" w:lineRule="exact"/>
              <w:jc w:val="left"/>
              <w:rPr>
                <w:rFonts w:eastAsia="仿宋_GB2312"/>
                <w:sz w:val="24"/>
              </w:rPr>
            </w:pPr>
            <w:r>
              <w:rPr>
                <w:rFonts w:hint="eastAsia" w:eastAsia="仿宋_GB2312"/>
                <w:sz w:val="24"/>
              </w:rPr>
              <w:t>满意度&lt;60%记0分。</w:t>
            </w:r>
          </w:p>
        </w:tc>
      </w:tr>
    </w:tbl>
    <w:p w14:paraId="07B400EF">
      <w:pPr>
        <w:ind w:left="0" w:leftChars="0" w:firstLine="0" w:firstLineChars="0"/>
      </w:pPr>
    </w:p>
    <w:sectPr>
      <w:pgSz w:w="11906" w:h="16838"/>
      <w:pgMar w:top="363" w:right="1800" w:bottom="476"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5201C1"/>
    <w:multiLevelType w:val="singleLevel"/>
    <w:tmpl w:val="2D5201C1"/>
    <w:lvl w:ilvl="0" w:tentative="0">
      <w:start w:val="2"/>
      <w:numFmt w:val="chineseCounting"/>
      <w:suff w:val="nothing"/>
      <w:lvlText w:val="（%1）"/>
      <w:lvlJc w:val="left"/>
      <w:pPr>
        <w:ind w:left="-41"/>
      </w:pPr>
      <w:rPr>
        <w:rFonts w:hint="eastAsia"/>
      </w:rPr>
    </w:lvl>
  </w:abstractNum>
  <w:abstractNum w:abstractNumId="1">
    <w:nsid w:val="33BD9735"/>
    <w:multiLevelType w:val="singleLevel"/>
    <w:tmpl w:val="33BD9735"/>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E0C62"/>
    <w:rsid w:val="0E3759DB"/>
    <w:rsid w:val="16A965F8"/>
    <w:rsid w:val="1FE73A01"/>
    <w:rsid w:val="21CD17AD"/>
    <w:rsid w:val="26B62AAF"/>
    <w:rsid w:val="2CBA1532"/>
    <w:rsid w:val="32892EB1"/>
    <w:rsid w:val="3CE138EA"/>
    <w:rsid w:val="4344006C"/>
    <w:rsid w:val="47EF4992"/>
    <w:rsid w:val="48AF1129"/>
    <w:rsid w:val="4B270615"/>
    <w:rsid w:val="4DBC3CE3"/>
    <w:rsid w:val="514754D2"/>
    <w:rsid w:val="54CC782F"/>
    <w:rsid w:val="55055126"/>
    <w:rsid w:val="5B47525D"/>
    <w:rsid w:val="5C886D67"/>
    <w:rsid w:val="61CA33D6"/>
    <w:rsid w:val="667A42E4"/>
    <w:rsid w:val="68C13645"/>
    <w:rsid w:val="70C44AD9"/>
    <w:rsid w:val="753A5D6C"/>
    <w:rsid w:val="77D319A9"/>
    <w:rsid w:val="7CE301F3"/>
    <w:rsid w:val="7D025323"/>
    <w:rsid w:val="7E6F0906"/>
    <w:rsid w:val="7E837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styleId="4">
    <w:name w:val="Body Text First Indent"/>
    <w:basedOn w:val="2"/>
    <w:qFormat/>
    <w:uiPriority w:val="0"/>
    <w:pPr>
      <w:spacing w:after="200"/>
      <w:ind w:firstLine="100" w:firstLineChars="100"/>
      <w:jc w:val="center"/>
    </w:pPr>
    <w:rPr>
      <w:rFonts w:ascii="??_GB2312" w:hAnsi="??_GB2312" w:cs="??_GB2312"/>
      <w:sz w:val="24"/>
    </w:rPr>
  </w:style>
  <w:style w:type="character" w:styleId="7">
    <w:name w:val="Strong"/>
    <w:qFormat/>
    <w:uiPriority w:val="0"/>
    <w:rPr>
      <w:b/>
      <w:bCs/>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3640</Words>
  <Characters>3810</Characters>
  <Lines>0</Lines>
  <Paragraphs>0</Paragraphs>
  <TotalTime>2</TotalTime>
  <ScaleCrop>false</ScaleCrop>
  <LinksUpToDate>false</LinksUpToDate>
  <CharactersWithSpaces>3927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2025-02-26T01:21:00Z</dcterms:created>
  <dc:creator>Administrator</dc:creator>
  <cp:lastModifiedBy>Administrator</cp:lastModifiedBy>
  <cp:lastPrinted>2025-03-05T07:44:00Z</cp:lastPrinted>
  <dcterms:modified xsi:type="dcterms:W3CDTF">2025-04-08T08:01:56Z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eyJoZGlkIjoiMDYzMDYzZTlmNWM4MTFlN2ZmZmFjZTE1YmMyNWJmY2EifQ==</vt:lpwstr>
  </property>
  <property fmtid="{D5CDD505-2E9C-101B-9397-08002B2CF9AE}" pid="4" name="ICV">
    <vt:lpwstr>D49C3718F7334076AB74EF45E3D4DA39_13</vt:lpwstr>
  </property>
</Properties>
</file>